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D67DA" w14:textId="0CFBCFC9" w:rsidR="009F2880" w:rsidRPr="008647A0" w:rsidRDefault="00C223AD">
      <w:pPr>
        <w:ind w:firstLineChars="50" w:firstLine="120"/>
        <w:jc w:val="right"/>
        <w:rPr>
          <w:rFonts w:eastAsiaTheme="minorEastAsia" w:hint="eastAsia"/>
          <w:color w:val="000000" w:themeColor="text1"/>
          <w:lang w:eastAsia="ja-JP"/>
        </w:rPr>
      </w:pPr>
      <w:r w:rsidRPr="00AF2A12">
        <w:rPr>
          <w:color w:val="000000" w:themeColor="text1"/>
        </w:rPr>
        <w:t>ICRP ref:</w:t>
      </w:r>
      <w:r w:rsidR="004E1659">
        <w:rPr>
          <w:color w:val="000000" w:themeColor="text1"/>
        </w:rPr>
        <w:t xml:space="preserve"> </w:t>
      </w:r>
      <w:r w:rsidR="008647A0">
        <w:rPr>
          <w:rFonts w:eastAsiaTheme="minorEastAsia" w:hint="eastAsia"/>
          <w:color w:val="000000" w:themeColor="text1"/>
          <w:lang w:eastAsia="ja-JP"/>
        </w:rPr>
        <w:t>4880</w:t>
      </w:r>
      <w:r w:rsidR="00574704" w:rsidRPr="00574704">
        <w:rPr>
          <w:color w:val="000000" w:themeColor="text1"/>
        </w:rPr>
        <w:t>-</w:t>
      </w:r>
      <w:r w:rsidR="008647A0">
        <w:rPr>
          <w:rFonts w:eastAsiaTheme="minorEastAsia" w:hint="eastAsia"/>
          <w:color w:val="000000" w:themeColor="text1"/>
          <w:lang w:eastAsia="ja-JP"/>
        </w:rPr>
        <w:t>5912</w:t>
      </w:r>
      <w:r w:rsidR="00574704" w:rsidRPr="00574704">
        <w:rPr>
          <w:color w:val="000000" w:themeColor="text1"/>
        </w:rPr>
        <w:t>-</w:t>
      </w:r>
      <w:r w:rsidR="008647A0">
        <w:rPr>
          <w:rFonts w:eastAsiaTheme="minorEastAsia" w:hint="eastAsia"/>
          <w:color w:val="000000" w:themeColor="text1"/>
          <w:lang w:eastAsia="ja-JP"/>
        </w:rPr>
        <w:t>8767</w:t>
      </w:r>
    </w:p>
    <w:p w14:paraId="6E25FA59" w14:textId="77777777" w:rsidR="004A6135" w:rsidRPr="001565FA" w:rsidRDefault="004A6135" w:rsidP="001565FA">
      <w:pPr>
        <w:rPr>
          <w:color w:val="000000" w:themeColor="text1"/>
          <w:u w:val="single"/>
        </w:rPr>
      </w:pPr>
    </w:p>
    <w:p w14:paraId="42022BFB" w14:textId="77777777" w:rsidR="004A6135" w:rsidRPr="0080555A" w:rsidRDefault="003970A7" w:rsidP="0080555A">
      <w:pPr>
        <w:jc w:val="center"/>
        <w:rPr>
          <w:color w:val="000000" w:themeColor="text1"/>
          <w:sz w:val="100"/>
          <w:szCs w:val="100"/>
        </w:rPr>
      </w:pPr>
      <w:r w:rsidRPr="0080555A">
        <w:rPr>
          <w:color w:val="000000" w:themeColor="text1"/>
          <w:sz w:val="100"/>
          <w:szCs w:val="100"/>
        </w:rPr>
        <w:t>Annals of the ICRP</w:t>
      </w:r>
    </w:p>
    <w:p w14:paraId="7D546C47" w14:textId="77777777" w:rsidR="004A6135" w:rsidRPr="0080555A" w:rsidRDefault="004A6135" w:rsidP="0080555A">
      <w:pPr>
        <w:jc w:val="center"/>
        <w:rPr>
          <w:color w:val="000000" w:themeColor="text1"/>
          <w:sz w:val="28"/>
          <w:szCs w:val="28"/>
          <w:u w:val="single"/>
        </w:rPr>
      </w:pPr>
    </w:p>
    <w:p w14:paraId="2ACAE17F" w14:textId="77777777" w:rsidR="004A6135" w:rsidRPr="0080555A" w:rsidRDefault="004A6135" w:rsidP="0080555A">
      <w:pPr>
        <w:jc w:val="center"/>
        <w:rPr>
          <w:color w:val="000000" w:themeColor="text1"/>
          <w:sz w:val="28"/>
          <w:szCs w:val="28"/>
        </w:rPr>
      </w:pPr>
    </w:p>
    <w:p w14:paraId="443988CC" w14:textId="4DC63ED7" w:rsidR="004A6135" w:rsidRPr="007A5BB7" w:rsidRDefault="003970A7" w:rsidP="0080555A">
      <w:pPr>
        <w:jc w:val="center"/>
        <w:rPr>
          <w:rFonts w:eastAsiaTheme="minorEastAsia"/>
          <w:color w:val="000000" w:themeColor="text1"/>
          <w:sz w:val="28"/>
          <w:lang w:eastAsia="ja-JP"/>
        </w:rPr>
      </w:pPr>
      <w:r w:rsidRPr="00AF2A12">
        <w:rPr>
          <w:color w:val="000000" w:themeColor="text1"/>
          <w:sz w:val="28"/>
        </w:rPr>
        <w:t>ICRP PUBLICATION 1XX</w:t>
      </w:r>
    </w:p>
    <w:p w14:paraId="6E41D4C5" w14:textId="77777777" w:rsidR="004A6135" w:rsidRPr="00AF2A12" w:rsidRDefault="004A6135" w:rsidP="0080555A">
      <w:pPr>
        <w:jc w:val="center"/>
        <w:rPr>
          <w:color w:val="000000" w:themeColor="text1"/>
          <w:sz w:val="28"/>
        </w:rPr>
      </w:pPr>
    </w:p>
    <w:p w14:paraId="6E8C8186" w14:textId="77777777" w:rsidR="004A6135" w:rsidRPr="00AF2A12" w:rsidRDefault="004A6135" w:rsidP="0080555A">
      <w:pPr>
        <w:jc w:val="center"/>
        <w:rPr>
          <w:color w:val="000000" w:themeColor="text1"/>
          <w:sz w:val="28"/>
        </w:rPr>
      </w:pPr>
    </w:p>
    <w:p w14:paraId="1F51EA8B" w14:textId="77777777" w:rsidR="003E64BC" w:rsidRPr="0080555A" w:rsidRDefault="003E64BC" w:rsidP="0080555A">
      <w:pPr>
        <w:jc w:val="center"/>
        <w:rPr>
          <w:color w:val="000000" w:themeColor="text1"/>
          <w:sz w:val="48"/>
          <w:szCs w:val="48"/>
          <w:lang w:val="en-US"/>
        </w:rPr>
      </w:pPr>
      <w:r w:rsidRPr="0080555A">
        <w:rPr>
          <w:color w:val="000000" w:themeColor="text1"/>
          <w:sz w:val="48"/>
          <w:szCs w:val="48"/>
          <w:lang w:val="en-US"/>
        </w:rPr>
        <w:t>Radiological Protection in Areas Contaminated by Past Activities</w:t>
      </w:r>
    </w:p>
    <w:p w14:paraId="249F8986" w14:textId="77777777" w:rsidR="004A6135" w:rsidRPr="0080555A" w:rsidRDefault="004A6135" w:rsidP="0080555A">
      <w:pPr>
        <w:jc w:val="center"/>
        <w:rPr>
          <w:color w:val="000000" w:themeColor="text1"/>
          <w:sz w:val="28"/>
          <w:szCs w:val="28"/>
        </w:rPr>
      </w:pPr>
    </w:p>
    <w:p w14:paraId="176BA7E8" w14:textId="77777777" w:rsidR="004A6135" w:rsidRPr="0080555A" w:rsidRDefault="004A6135" w:rsidP="0080555A">
      <w:pPr>
        <w:rPr>
          <w:color w:val="000000" w:themeColor="text1"/>
          <w:sz w:val="28"/>
          <w:szCs w:val="28"/>
        </w:rPr>
      </w:pPr>
    </w:p>
    <w:p w14:paraId="18153B09" w14:textId="77777777" w:rsidR="004A6135" w:rsidRPr="0080555A" w:rsidRDefault="003970A7" w:rsidP="0080555A">
      <w:pPr>
        <w:jc w:val="center"/>
        <w:rPr>
          <w:color w:val="000000" w:themeColor="text1"/>
          <w:sz w:val="28"/>
          <w:szCs w:val="28"/>
        </w:rPr>
      </w:pPr>
      <w:r w:rsidRPr="0080555A">
        <w:rPr>
          <w:color w:val="000000" w:themeColor="text1"/>
          <w:sz w:val="28"/>
          <w:szCs w:val="28"/>
        </w:rPr>
        <w:t>Editor-in-Chief</w:t>
      </w:r>
    </w:p>
    <w:p w14:paraId="01869440" w14:textId="77777777" w:rsidR="004A6135" w:rsidRPr="0080555A" w:rsidRDefault="003970A7" w:rsidP="0080555A">
      <w:pPr>
        <w:jc w:val="center"/>
        <w:rPr>
          <w:color w:val="000000" w:themeColor="text1"/>
          <w:sz w:val="28"/>
          <w:szCs w:val="28"/>
        </w:rPr>
      </w:pPr>
      <w:r w:rsidRPr="0080555A">
        <w:rPr>
          <w:color w:val="000000" w:themeColor="text1"/>
          <w:sz w:val="28"/>
          <w:szCs w:val="28"/>
        </w:rPr>
        <w:t>C.H. CLEMENT</w:t>
      </w:r>
    </w:p>
    <w:p w14:paraId="22F215C5" w14:textId="77777777" w:rsidR="004A6135" w:rsidRPr="0080555A" w:rsidRDefault="004A6135" w:rsidP="0080555A">
      <w:pPr>
        <w:jc w:val="center"/>
        <w:rPr>
          <w:color w:val="000000" w:themeColor="text1"/>
          <w:sz w:val="28"/>
          <w:szCs w:val="28"/>
        </w:rPr>
      </w:pPr>
    </w:p>
    <w:p w14:paraId="3C39FB16" w14:textId="130F3AFA" w:rsidR="004A6135" w:rsidRPr="00160525" w:rsidRDefault="003970A7" w:rsidP="0080555A">
      <w:pPr>
        <w:jc w:val="center"/>
        <w:rPr>
          <w:rFonts w:eastAsiaTheme="minorEastAsia"/>
          <w:color w:val="000000" w:themeColor="text1"/>
          <w:sz w:val="28"/>
          <w:szCs w:val="28"/>
          <w:lang w:eastAsia="ja-JP"/>
        </w:rPr>
      </w:pPr>
      <w:r w:rsidRPr="0080555A">
        <w:rPr>
          <w:color w:val="000000" w:themeColor="text1"/>
          <w:sz w:val="28"/>
          <w:szCs w:val="28"/>
        </w:rPr>
        <w:t>Associate Editor</w:t>
      </w:r>
      <w:r w:rsidR="00160525">
        <w:rPr>
          <w:rFonts w:eastAsiaTheme="minorEastAsia" w:hint="eastAsia"/>
          <w:color w:val="000000" w:themeColor="text1"/>
          <w:sz w:val="28"/>
          <w:szCs w:val="28"/>
          <w:lang w:eastAsia="ja-JP"/>
        </w:rPr>
        <w:t>s</w:t>
      </w:r>
    </w:p>
    <w:p w14:paraId="17625C24" w14:textId="2494CA84" w:rsidR="004A6135" w:rsidRPr="00160525" w:rsidRDefault="00475A33" w:rsidP="0080555A">
      <w:pPr>
        <w:jc w:val="center"/>
        <w:rPr>
          <w:rFonts w:eastAsiaTheme="minorEastAsia"/>
          <w:color w:val="000000" w:themeColor="text1"/>
          <w:sz w:val="28"/>
          <w:szCs w:val="28"/>
          <w:lang w:eastAsia="ja-JP"/>
        </w:rPr>
      </w:pPr>
      <w:r>
        <w:rPr>
          <w:color w:val="000000" w:themeColor="text1"/>
          <w:sz w:val="28"/>
          <w:szCs w:val="28"/>
        </w:rPr>
        <w:t>T</w:t>
      </w:r>
      <w:r w:rsidR="003970A7" w:rsidRPr="0080555A">
        <w:rPr>
          <w:color w:val="000000" w:themeColor="text1"/>
          <w:sz w:val="28"/>
          <w:szCs w:val="28"/>
        </w:rPr>
        <w:t xml:space="preserve">. </w:t>
      </w:r>
      <w:r>
        <w:rPr>
          <w:color w:val="000000" w:themeColor="text1"/>
          <w:sz w:val="28"/>
          <w:szCs w:val="28"/>
        </w:rPr>
        <w:t>YASUMUNE</w:t>
      </w:r>
      <w:r w:rsidR="00160525">
        <w:rPr>
          <w:rFonts w:eastAsiaTheme="minorEastAsia"/>
          <w:color w:val="000000" w:themeColor="text1"/>
          <w:sz w:val="28"/>
          <w:szCs w:val="28"/>
          <w:lang w:eastAsia="ja-JP"/>
        </w:rPr>
        <w:br/>
      </w:r>
      <w:r w:rsidR="00160525">
        <w:rPr>
          <w:rFonts w:eastAsiaTheme="minorEastAsia" w:hint="eastAsia"/>
          <w:color w:val="000000" w:themeColor="text1"/>
          <w:sz w:val="28"/>
          <w:szCs w:val="28"/>
          <w:lang w:eastAsia="ja-JP"/>
        </w:rPr>
        <w:t>K. NAKAMURA</w:t>
      </w:r>
    </w:p>
    <w:p w14:paraId="3375847B" w14:textId="77777777" w:rsidR="004A6135" w:rsidRPr="0080555A" w:rsidRDefault="004A6135" w:rsidP="0080555A">
      <w:pPr>
        <w:jc w:val="center"/>
        <w:rPr>
          <w:color w:val="000000" w:themeColor="text1"/>
          <w:sz w:val="28"/>
          <w:szCs w:val="28"/>
        </w:rPr>
      </w:pPr>
    </w:p>
    <w:p w14:paraId="3E682D63" w14:textId="77777777" w:rsidR="004A6135" w:rsidRPr="0080555A" w:rsidRDefault="004A6135" w:rsidP="0080555A">
      <w:pPr>
        <w:jc w:val="center"/>
        <w:rPr>
          <w:color w:val="000000" w:themeColor="text1"/>
          <w:sz w:val="28"/>
          <w:szCs w:val="28"/>
        </w:rPr>
      </w:pPr>
    </w:p>
    <w:p w14:paraId="3DA20C7A" w14:textId="77777777" w:rsidR="004A6135" w:rsidRPr="0080555A" w:rsidRDefault="003970A7" w:rsidP="0080555A">
      <w:pPr>
        <w:jc w:val="center"/>
        <w:rPr>
          <w:color w:val="000000" w:themeColor="text1"/>
          <w:sz w:val="28"/>
          <w:szCs w:val="28"/>
        </w:rPr>
      </w:pPr>
      <w:r w:rsidRPr="0080555A">
        <w:rPr>
          <w:color w:val="000000" w:themeColor="text1"/>
          <w:sz w:val="28"/>
          <w:szCs w:val="28"/>
        </w:rPr>
        <w:t>Authors on behalf of ICRP</w:t>
      </w:r>
    </w:p>
    <w:p w14:paraId="0CC5722D" w14:textId="42277992" w:rsidR="004A6135" w:rsidRPr="0080555A" w:rsidRDefault="00C97153" w:rsidP="0080555A">
      <w:pPr>
        <w:jc w:val="center"/>
        <w:rPr>
          <w:color w:val="000000" w:themeColor="text1"/>
          <w:sz w:val="28"/>
          <w:szCs w:val="28"/>
          <w:lang w:val="en-US"/>
        </w:rPr>
      </w:pPr>
      <w:r w:rsidRPr="0080555A">
        <w:rPr>
          <w:color w:val="000000" w:themeColor="text1"/>
          <w:sz w:val="28"/>
          <w:szCs w:val="28"/>
          <w:lang w:val="en-US"/>
        </w:rPr>
        <w:t xml:space="preserve">M. Boyd, A. Canoba, </w:t>
      </w:r>
      <w:r w:rsidR="008A6165" w:rsidRPr="0080555A">
        <w:rPr>
          <w:color w:val="000000" w:themeColor="text1"/>
          <w:sz w:val="28"/>
          <w:szCs w:val="28"/>
          <w:lang w:val="en-US"/>
        </w:rPr>
        <w:t xml:space="preserve">E. Lazo, S. Long, </w:t>
      </w:r>
      <w:r w:rsidRPr="0080555A">
        <w:rPr>
          <w:color w:val="000000" w:themeColor="text1"/>
          <w:sz w:val="28"/>
          <w:szCs w:val="28"/>
          <w:lang w:val="en-US"/>
        </w:rPr>
        <w:t xml:space="preserve">C. McGuire, A. Rood, </w:t>
      </w:r>
      <w:r w:rsidR="008A6165" w:rsidRPr="0080555A">
        <w:rPr>
          <w:color w:val="000000" w:themeColor="text1"/>
          <w:sz w:val="28"/>
          <w:szCs w:val="28"/>
          <w:lang w:val="en-US"/>
        </w:rPr>
        <w:t xml:space="preserve">S. Shinkarev, </w:t>
      </w:r>
      <w:r w:rsidR="004A7009" w:rsidRPr="0080555A">
        <w:rPr>
          <w:color w:val="000000" w:themeColor="text1"/>
          <w:sz w:val="28"/>
          <w:szCs w:val="28"/>
          <w:lang w:val="en-US"/>
        </w:rPr>
        <w:br/>
        <w:t xml:space="preserve">G. Smith, </w:t>
      </w:r>
      <w:r w:rsidR="008A6165" w:rsidRPr="0080555A">
        <w:rPr>
          <w:color w:val="000000" w:themeColor="text1"/>
          <w:sz w:val="28"/>
          <w:szCs w:val="28"/>
          <w:lang w:val="en-US"/>
        </w:rPr>
        <w:t>M.</w:t>
      </w:r>
      <w:r w:rsidR="009D1870">
        <w:rPr>
          <w:rFonts w:eastAsiaTheme="minorEastAsia" w:hint="eastAsia"/>
          <w:color w:val="000000" w:themeColor="text1"/>
          <w:sz w:val="28"/>
          <w:szCs w:val="28"/>
          <w:lang w:val="en-US" w:eastAsia="ja-JP"/>
        </w:rPr>
        <w:t xml:space="preserve"> </w:t>
      </w:r>
      <w:r w:rsidR="008A6165" w:rsidRPr="0080555A">
        <w:rPr>
          <w:color w:val="000000" w:themeColor="text1"/>
          <w:sz w:val="28"/>
          <w:szCs w:val="28"/>
          <w:lang w:val="en-US"/>
        </w:rPr>
        <w:t>Sneve, L. Vaillant, T. Yankovich, H. Yasuda</w:t>
      </w:r>
    </w:p>
    <w:p w14:paraId="2C9DB190" w14:textId="77777777" w:rsidR="004A6135" w:rsidRDefault="004A6135" w:rsidP="0080555A">
      <w:pPr>
        <w:rPr>
          <w:color w:val="000000" w:themeColor="text1"/>
          <w:sz w:val="28"/>
          <w:szCs w:val="28"/>
          <w:lang w:val="en-US"/>
        </w:rPr>
      </w:pPr>
    </w:p>
    <w:p w14:paraId="34741D1A" w14:textId="77777777" w:rsidR="0080555A" w:rsidRPr="0080555A" w:rsidRDefault="0080555A" w:rsidP="0080555A">
      <w:pPr>
        <w:rPr>
          <w:color w:val="000000" w:themeColor="text1"/>
          <w:sz w:val="28"/>
          <w:szCs w:val="28"/>
          <w:lang w:val="en-US"/>
        </w:rPr>
      </w:pPr>
    </w:p>
    <w:p w14:paraId="38B199F6" w14:textId="77777777" w:rsidR="004A6135" w:rsidRDefault="003970A7" w:rsidP="0080555A">
      <w:pPr>
        <w:jc w:val="center"/>
        <w:rPr>
          <w:color w:val="000000" w:themeColor="text1"/>
          <w:sz w:val="28"/>
          <w:szCs w:val="28"/>
        </w:rPr>
      </w:pPr>
      <w:r w:rsidRPr="0080555A">
        <w:rPr>
          <w:color w:val="000000" w:themeColor="text1"/>
          <w:sz w:val="28"/>
          <w:szCs w:val="28"/>
        </w:rPr>
        <w:t>PUBLISHED FOR</w:t>
      </w:r>
    </w:p>
    <w:p w14:paraId="7284F76D" w14:textId="77777777" w:rsidR="0080555A" w:rsidRPr="0080555A" w:rsidRDefault="0080555A" w:rsidP="0080555A">
      <w:pPr>
        <w:jc w:val="center"/>
        <w:rPr>
          <w:color w:val="000000" w:themeColor="text1"/>
          <w:sz w:val="28"/>
          <w:szCs w:val="28"/>
        </w:rPr>
      </w:pPr>
    </w:p>
    <w:p w14:paraId="106C3222" w14:textId="77777777" w:rsidR="004A6135" w:rsidRDefault="003970A7" w:rsidP="0080555A">
      <w:pPr>
        <w:jc w:val="center"/>
        <w:rPr>
          <w:color w:val="000000" w:themeColor="text1"/>
          <w:sz w:val="28"/>
          <w:szCs w:val="28"/>
        </w:rPr>
      </w:pPr>
      <w:r w:rsidRPr="0080555A">
        <w:rPr>
          <w:color w:val="000000" w:themeColor="text1"/>
          <w:sz w:val="28"/>
          <w:szCs w:val="28"/>
        </w:rPr>
        <w:t>The International Commission on Radiological Protection</w:t>
      </w:r>
    </w:p>
    <w:p w14:paraId="31F4F8C1" w14:textId="77777777" w:rsidR="0080555A" w:rsidRPr="0080555A" w:rsidRDefault="0080555A" w:rsidP="0080555A">
      <w:pPr>
        <w:jc w:val="center"/>
        <w:rPr>
          <w:color w:val="000000" w:themeColor="text1"/>
          <w:sz w:val="28"/>
          <w:szCs w:val="28"/>
        </w:rPr>
      </w:pPr>
    </w:p>
    <w:p w14:paraId="21CC0BEF" w14:textId="5573AB76" w:rsidR="004A6135" w:rsidRDefault="001565FA" w:rsidP="0080555A">
      <w:pPr>
        <w:jc w:val="center"/>
        <w:rPr>
          <w:color w:val="000000" w:themeColor="text1"/>
          <w:sz w:val="28"/>
          <w:szCs w:val="28"/>
        </w:rPr>
      </w:pPr>
      <w:r w:rsidRPr="0080555A">
        <w:rPr>
          <w:color w:val="000000" w:themeColor="text1"/>
          <w:sz w:val="28"/>
          <w:szCs w:val="28"/>
        </w:rPr>
        <w:t>B</w:t>
      </w:r>
      <w:r w:rsidR="003970A7" w:rsidRPr="0080555A">
        <w:rPr>
          <w:color w:val="000000" w:themeColor="text1"/>
          <w:sz w:val="28"/>
          <w:szCs w:val="28"/>
        </w:rPr>
        <w:t>y</w:t>
      </w:r>
    </w:p>
    <w:p w14:paraId="398154D3" w14:textId="77777777" w:rsidR="001565FA" w:rsidRPr="0080555A" w:rsidRDefault="001565FA" w:rsidP="0080555A">
      <w:pPr>
        <w:jc w:val="center"/>
        <w:rPr>
          <w:color w:val="000000" w:themeColor="text1"/>
          <w:sz w:val="28"/>
          <w:szCs w:val="28"/>
        </w:rPr>
      </w:pPr>
    </w:p>
    <w:p w14:paraId="31E3148F" w14:textId="55507DC7" w:rsidR="004A6135" w:rsidRPr="0080555A" w:rsidRDefault="001565FA" w:rsidP="001565FA">
      <w:pPr>
        <w:jc w:val="center"/>
        <w:rPr>
          <w:color w:val="000000" w:themeColor="text1"/>
          <w:sz w:val="28"/>
          <w:szCs w:val="28"/>
        </w:rPr>
      </w:pPr>
      <w:r w:rsidRPr="00FE17F7">
        <w:fldChar w:fldCharType="begin"/>
      </w:r>
      <w:r w:rsidRPr="00FE17F7">
        <w:instrText xml:space="preserve"> INCLUDEPICTURE "https://home.heinonline.org/wp-content/uploads/2020/09/SAGE_Logo.png" \* MERGEFORMATINET </w:instrText>
      </w:r>
      <w:r w:rsidRPr="00FE17F7">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6578E8">
        <w:rPr>
          <w:noProof/>
        </w:rPr>
        <w:fldChar w:fldCharType="begin"/>
      </w:r>
      <w:r w:rsidR="006578E8">
        <w:rPr>
          <w:noProof/>
        </w:rPr>
        <w:instrText xml:space="preserve"> INCLUDEPICTURE  "https://home.heinonline.org/wp-content/uploads/2020/09/SAGE_Logo.png" \* MERGEFORMATINET </w:instrText>
      </w:r>
      <w:r w:rsidR="006578E8">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CE614F">
        <w:rPr>
          <w:noProof/>
        </w:rPr>
        <w:fldChar w:fldCharType="begin"/>
      </w:r>
      <w:r w:rsidR="00CE614F">
        <w:rPr>
          <w:noProof/>
        </w:rPr>
        <w:instrText xml:space="preserve"> INCLUDEPICTURE  "https://home.heinonline.org/wp-content/uploads/2020/09/SAGE_Logo.png" \* MERGEFORMATINET </w:instrText>
      </w:r>
      <w:r w:rsidR="00CE614F">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C92893">
        <w:rPr>
          <w:noProof/>
        </w:rPr>
        <w:fldChar w:fldCharType="begin"/>
      </w:r>
      <w:r w:rsidR="00C92893">
        <w:rPr>
          <w:noProof/>
        </w:rPr>
        <w:instrText xml:space="preserve"> INCLUDEPICTURE  "https://home.heinonline.org/wp-content/uploads/2020/09/SAGE_Logo.png" \* MERGEFORMATINET </w:instrText>
      </w:r>
      <w:r w:rsidR="00C92893">
        <w:rPr>
          <w:noProof/>
        </w:rPr>
        <w:fldChar w:fldCharType="separate"/>
      </w:r>
      <w:r w:rsidR="00F56C2E">
        <w:rPr>
          <w:noProof/>
        </w:rPr>
        <w:fldChar w:fldCharType="begin"/>
      </w:r>
      <w:r w:rsidR="00F56C2E">
        <w:rPr>
          <w:noProof/>
        </w:rPr>
        <w:instrText xml:space="preserve"> INCLUDEPICTURE  "https://home.heinonline.org/wp-content/uploads/2020/09/SAGE_Logo.png" \* MERGEFORMATINET </w:instrText>
      </w:r>
      <w:r w:rsidR="00F56C2E">
        <w:rPr>
          <w:noProof/>
        </w:rPr>
        <w:fldChar w:fldCharType="separate"/>
      </w:r>
      <w:r w:rsidR="00040913">
        <w:rPr>
          <w:noProof/>
        </w:rPr>
        <w:fldChar w:fldCharType="begin"/>
      </w:r>
      <w:r w:rsidR="00040913">
        <w:rPr>
          <w:noProof/>
        </w:rPr>
        <w:instrText xml:space="preserve"> INCLUDEPICTURE  "https://home.heinonline.org/wp-content/uploads/2020/09/SAGE_Logo.png" \* MERGEFORMATINET </w:instrText>
      </w:r>
      <w:r w:rsidR="00040913">
        <w:rPr>
          <w:noProof/>
        </w:rPr>
        <w:fldChar w:fldCharType="separate"/>
      </w:r>
      <w:r w:rsidR="00800D9D">
        <w:rPr>
          <w:noProof/>
        </w:rPr>
        <w:fldChar w:fldCharType="begin"/>
      </w:r>
      <w:r w:rsidR="00800D9D">
        <w:rPr>
          <w:noProof/>
        </w:rPr>
        <w:instrText xml:space="preserve"> INCLUDEPICTURE  "https://home.heinonline.org/wp-content/uploads/2020/09/SAGE_Logo.png" \* MERGEFORMATINET </w:instrText>
      </w:r>
      <w:r w:rsidR="00800D9D">
        <w:rPr>
          <w:noProof/>
        </w:rPr>
        <w:fldChar w:fldCharType="separate"/>
      </w:r>
      <w:r w:rsidR="00D84B3E">
        <w:rPr>
          <w:noProof/>
        </w:rPr>
        <w:fldChar w:fldCharType="begin"/>
      </w:r>
      <w:r w:rsidR="00D84B3E">
        <w:rPr>
          <w:noProof/>
        </w:rPr>
        <w:instrText xml:space="preserve"> INCLUDEPICTURE  "https://home.heinonline.org/wp-content/uploads/2020/09/SAGE_Logo.png" \* MERGEFORMATINET </w:instrText>
      </w:r>
      <w:r w:rsidR="00D84B3E">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346349">
        <w:rPr>
          <w:noProof/>
        </w:rPr>
        <w:fldChar w:fldCharType="begin"/>
      </w:r>
      <w:r w:rsidR="00346349">
        <w:rPr>
          <w:noProof/>
        </w:rPr>
        <w:instrText xml:space="preserve"> INCLUDEPICTURE  "https://home.heinonline.org/wp-content/uploads/2020/09/SAGE_Logo.png" \* MERGEFORMATINET </w:instrText>
      </w:r>
      <w:r w:rsidR="00346349">
        <w:rPr>
          <w:noProof/>
        </w:rPr>
        <w:fldChar w:fldCharType="separate"/>
      </w:r>
      <w:r w:rsidR="0056537A">
        <w:rPr>
          <w:noProof/>
        </w:rPr>
        <w:fldChar w:fldCharType="begin"/>
      </w:r>
      <w:r w:rsidR="0056537A">
        <w:rPr>
          <w:noProof/>
        </w:rPr>
        <w:instrText xml:space="preserve"> INCLUDEPICTURE  "https://home.heinonline.org/wp-content/uploads/2020/09/SAGE_Logo.png" \* MERGEFORMATINET </w:instrText>
      </w:r>
      <w:r w:rsidR="0056537A">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3A10D5">
        <w:rPr>
          <w:noProof/>
        </w:rPr>
        <w:fldChar w:fldCharType="begin"/>
      </w:r>
      <w:r w:rsidR="003A10D5">
        <w:rPr>
          <w:noProof/>
        </w:rPr>
        <w:instrText xml:space="preserve"> INCLUDEPICTURE  "https://home.heinonline.org/wp-content/uploads/2020/09/SAGE_Logo.png" \* MERGEFORMATINET </w:instrText>
      </w:r>
      <w:r w:rsidR="003A10D5">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952525">
        <w:rPr>
          <w:noProof/>
        </w:rPr>
        <w:fldChar w:fldCharType="begin"/>
      </w:r>
      <w:r w:rsidR="00952525">
        <w:rPr>
          <w:noProof/>
        </w:rPr>
        <w:instrText xml:space="preserve"> INCLUDEPICTURE  "https://home.heinonline.org/wp-content/uploads/2020/09/SAGE_Logo.png" \* MERGEFORMATINET </w:instrText>
      </w:r>
      <w:r w:rsidR="00952525">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821374">
        <w:rPr>
          <w:noProof/>
        </w:rPr>
        <w:fldChar w:fldCharType="begin"/>
      </w:r>
      <w:r w:rsidR="00821374">
        <w:rPr>
          <w:noProof/>
        </w:rPr>
        <w:instrText xml:space="preserve"> INCLUDEPICTURE  "https://home.heinonline.org/wp-content/uploads/2020/09/SAGE_Logo.png" \* MERGEFORMATINET </w:instrText>
      </w:r>
      <w:r w:rsidR="00821374">
        <w:rPr>
          <w:noProof/>
        </w:rPr>
        <w:fldChar w:fldCharType="separate"/>
      </w:r>
      <w:r w:rsidR="00640980">
        <w:rPr>
          <w:noProof/>
        </w:rPr>
        <w:fldChar w:fldCharType="begin"/>
      </w:r>
      <w:r w:rsidR="00640980">
        <w:rPr>
          <w:noProof/>
        </w:rPr>
        <w:instrText xml:space="preserve"> INCLUDEPICTURE  "https://home.heinonline.org/wp-content/uploads/2020/09/SAGE_Logo.png" \* MERGEFORMATINET </w:instrText>
      </w:r>
      <w:r w:rsidR="00640980">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000000">
        <w:rPr>
          <w:noProof/>
        </w:rPr>
        <w:fldChar w:fldCharType="begin"/>
      </w:r>
      <w:r w:rsidR="00000000">
        <w:rPr>
          <w:noProof/>
        </w:rPr>
        <w:instrText xml:space="preserve"> INCLUDEPICTURE  "https://home.heinonline.org/wp-content/uploads/2020/09/SAGE_Logo.png" \* MERGEFORMATINET </w:instrText>
      </w:r>
      <w:r w:rsidR="00000000">
        <w:rPr>
          <w:noProof/>
        </w:rPr>
        <w:fldChar w:fldCharType="separate"/>
      </w:r>
      <w:r w:rsidR="008647A0">
        <w:rPr>
          <w:noProof/>
        </w:rPr>
        <w:pict w14:anchorId="6CA6C7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AGE Journals - HeinOnline" style="width:132pt;height:48.8pt;mso-width-percent:0;mso-height-percent:0;mso-width-percent:0;mso-height-percent:0">
            <v:imagedata r:id="rId8" r:href="rId9" grayscale="t" bilevel="t"/>
          </v:shape>
        </w:pict>
      </w:r>
      <w:r w:rsidR="00000000">
        <w:rPr>
          <w:noProof/>
        </w:rPr>
        <w:fldChar w:fldCharType="end"/>
      </w:r>
      <w:r>
        <w:rPr>
          <w:noProof/>
        </w:rPr>
        <w:fldChar w:fldCharType="end"/>
      </w:r>
      <w:r>
        <w:rPr>
          <w:noProof/>
        </w:rPr>
        <w:fldChar w:fldCharType="end"/>
      </w:r>
      <w:r w:rsidR="00640980">
        <w:rPr>
          <w:noProof/>
        </w:rPr>
        <w:fldChar w:fldCharType="end"/>
      </w:r>
      <w:r w:rsidR="00821374">
        <w:rPr>
          <w:noProof/>
        </w:rPr>
        <w:fldChar w:fldCharType="end"/>
      </w:r>
      <w:r>
        <w:rPr>
          <w:noProof/>
        </w:rPr>
        <w:fldChar w:fldCharType="end"/>
      </w:r>
      <w:r>
        <w:rPr>
          <w:noProof/>
        </w:rPr>
        <w:fldChar w:fldCharType="end"/>
      </w:r>
      <w:r w:rsidR="00952525">
        <w:rPr>
          <w:noProof/>
        </w:rPr>
        <w:fldChar w:fldCharType="end"/>
      </w:r>
      <w:r>
        <w:rPr>
          <w:noProof/>
        </w:rPr>
        <w:fldChar w:fldCharType="end"/>
      </w:r>
      <w:r>
        <w:rPr>
          <w:noProof/>
        </w:rPr>
        <w:fldChar w:fldCharType="end"/>
      </w:r>
      <w:r w:rsidR="003A10D5">
        <w:rPr>
          <w:noProof/>
        </w:rPr>
        <w:fldChar w:fldCharType="end"/>
      </w:r>
      <w:r>
        <w:rPr>
          <w:noProof/>
        </w:rPr>
        <w:fldChar w:fldCharType="end"/>
      </w:r>
      <w:r>
        <w:rPr>
          <w:noProof/>
        </w:rPr>
        <w:fldChar w:fldCharType="end"/>
      </w:r>
      <w:r w:rsidR="0056537A">
        <w:rPr>
          <w:noProof/>
        </w:rPr>
        <w:fldChar w:fldCharType="end"/>
      </w:r>
      <w:r w:rsidR="00346349">
        <w:rPr>
          <w:noProof/>
        </w:rPr>
        <w:fldChar w:fldCharType="end"/>
      </w:r>
      <w:r>
        <w:rPr>
          <w:noProof/>
        </w:rPr>
        <w:fldChar w:fldCharType="end"/>
      </w:r>
      <w:r w:rsidR="00D84B3E">
        <w:rPr>
          <w:noProof/>
        </w:rPr>
        <w:fldChar w:fldCharType="end"/>
      </w:r>
      <w:r w:rsidR="00800D9D">
        <w:rPr>
          <w:noProof/>
        </w:rPr>
        <w:fldChar w:fldCharType="end"/>
      </w:r>
      <w:r w:rsidR="00040913">
        <w:rPr>
          <w:noProof/>
        </w:rPr>
        <w:fldChar w:fldCharType="end"/>
      </w:r>
      <w:r w:rsidR="00F56C2E">
        <w:rPr>
          <w:noProof/>
        </w:rPr>
        <w:fldChar w:fldCharType="end"/>
      </w:r>
      <w:r w:rsidR="00C92893">
        <w:rPr>
          <w:noProof/>
        </w:rPr>
        <w:fldChar w:fldCharType="end"/>
      </w:r>
      <w:r>
        <w:rPr>
          <w:noProof/>
        </w:rPr>
        <w:fldChar w:fldCharType="end"/>
      </w:r>
      <w:r>
        <w:rPr>
          <w:noProof/>
        </w:rPr>
        <w:fldChar w:fldCharType="end"/>
      </w:r>
      <w:r w:rsidR="00CE614F">
        <w:rPr>
          <w:noProof/>
        </w:rPr>
        <w:fldChar w:fldCharType="end"/>
      </w:r>
      <w:r>
        <w:rPr>
          <w:noProof/>
        </w:rPr>
        <w:fldChar w:fldCharType="end"/>
      </w:r>
      <w:r>
        <w:rPr>
          <w:noProof/>
        </w:rPr>
        <w:fldChar w:fldCharType="end"/>
      </w:r>
      <w:r>
        <w:rPr>
          <w:noProof/>
        </w:rPr>
        <w:fldChar w:fldCharType="end"/>
      </w:r>
      <w:r w:rsidR="006578E8">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FE17F7">
        <w:fldChar w:fldCharType="end"/>
      </w:r>
    </w:p>
    <w:p w14:paraId="6F987AA1" w14:textId="77777777" w:rsidR="004A6135" w:rsidRPr="0080555A" w:rsidRDefault="004A6135" w:rsidP="0080555A">
      <w:pPr>
        <w:rPr>
          <w:color w:val="000000" w:themeColor="text1"/>
          <w:sz w:val="28"/>
          <w:szCs w:val="28"/>
        </w:rPr>
      </w:pPr>
    </w:p>
    <w:p w14:paraId="6AC27700" w14:textId="101D8CCA" w:rsidR="009E4000" w:rsidRPr="00AF2A12" w:rsidRDefault="003970A7" w:rsidP="0080555A">
      <w:pPr>
        <w:jc w:val="center"/>
        <w:rPr>
          <w:b/>
          <w:color w:val="000000" w:themeColor="text1"/>
          <w:sz w:val="28"/>
          <w:szCs w:val="28"/>
          <w:lang w:val="en-US"/>
        </w:rPr>
      </w:pPr>
      <w:r w:rsidRPr="0080555A">
        <w:rPr>
          <w:color w:val="000000" w:themeColor="text1"/>
          <w:sz w:val="28"/>
          <w:szCs w:val="28"/>
        </w:rPr>
        <w:t>Please cite this issue as ‘ICRP, 20</w:t>
      </w:r>
      <w:r w:rsidR="00F17163" w:rsidRPr="0080555A">
        <w:rPr>
          <w:color w:val="000000" w:themeColor="text1"/>
          <w:sz w:val="28"/>
          <w:szCs w:val="28"/>
        </w:rPr>
        <w:t>2</w:t>
      </w:r>
      <w:r w:rsidRPr="0080555A">
        <w:rPr>
          <w:color w:val="000000" w:themeColor="text1"/>
          <w:sz w:val="28"/>
          <w:szCs w:val="28"/>
        </w:rPr>
        <w:t xml:space="preserve">x. </w:t>
      </w:r>
      <w:r w:rsidR="0020796C" w:rsidRPr="0080555A">
        <w:rPr>
          <w:color w:val="000000" w:themeColor="text1"/>
          <w:sz w:val="28"/>
          <w:szCs w:val="28"/>
        </w:rPr>
        <w:t xml:space="preserve">Radiological </w:t>
      </w:r>
      <w:r w:rsidR="00D50FC9">
        <w:rPr>
          <w:color w:val="000000" w:themeColor="text1"/>
          <w:sz w:val="28"/>
          <w:szCs w:val="28"/>
        </w:rPr>
        <w:t>p</w:t>
      </w:r>
      <w:r w:rsidR="0020796C" w:rsidRPr="0080555A">
        <w:rPr>
          <w:color w:val="000000" w:themeColor="text1"/>
          <w:sz w:val="28"/>
          <w:szCs w:val="28"/>
        </w:rPr>
        <w:t xml:space="preserve">rotection in </w:t>
      </w:r>
      <w:r w:rsidR="00D50FC9">
        <w:rPr>
          <w:color w:val="000000" w:themeColor="text1"/>
          <w:sz w:val="28"/>
          <w:szCs w:val="28"/>
        </w:rPr>
        <w:t>a</w:t>
      </w:r>
      <w:r w:rsidR="0020796C" w:rsidRPr="0080555A">
        <w:rPr>
          <w:color w:val="000000" w:themeColor="text1"/>
          <w:sz w:val="28"/>
          <w:szCs w:val="28"/>
        </w:rPr>
        <w:t xml:space="preserve">reas </w:t>
      </w:r>
      <w:r w:rsidR="00D50FC9">
        <w:rPr>
          <w:color w:val="000000" w:themeColor="text1"/>
          <w:sz w:val="28"/>
          <w:szCs w:val="28"/>
        </w:rPr>
        <w:t>c</w:t>
      </w:r>
      <w:r w:rsidR="0020796C" w:rsidRPr="0080555A">
        <w:rPr>
          <w:color w:val="000000" w:themeColor="text1"/>
          <w:sz w:val="28"/>
          <w:szCs w:val="28"/>
        </w:rPr>
        <w:t xml:space="preserve">ontaminated by </w:t>
      </w:r>
      <w:r w:rsidR="00D50FC9">
        <w:rPr>
          <w:color w:val="000000" w:themeColor="text1"/>
          <w:sz w:val="28"/>
          <w:szCs w:val="28"/>
        </w:rPr>
        <w:t>p</w:t>
      </w:r>
      <w:r w:rsidR="0020796C" w:rsidRPr="0080555A">
        <w:rPr>
          <w:color w:val="000000" w:themeColor="text1"/>
          <w:sz w:val="28"/>
          <w:szCs w:val="28"/>
        </w:rPr>
        <w:t xml:space="preserve">ast </w:t>
      </w:r>
      <w:r w:rsidR="00D50FC9">
        <w:rPr>
          <w:color w:val="000000" w:themeColor="text1"/>
          <w:sz w:val="28"/>
          <w:szCs w:val="28"/>
        </w:rPr>
        <w:t>a</w:t>
      </w:r>
      <w:r w:rsidR="0020796C" w:rsidRPr="0080555A">
        <w:rPr>
          <w:color w:val="000000" w:themeColor="text1"/>
          <w:sz w:val="28"/>
          <w:szCs w:val="28"/>
        </w:rPr>
        <w:t>ctivities</w:t>
      </w:r>
      <w:r w:rsidR="00B42D3B" w:rsidRPr="0080555A">
        <w:rPr>
          <w:color w:val="000000" w:themeColor="text1"/>
          <w:sz w:val="28"/>
          <w:szCs w:val="28"/>
        </w:rPr>
        <w:t xml:space="preserve">, </w:t>
      </w:r>
      <w:r w:rsidRPr="0080555A">
        <w:rPr>
          <w:color w:val="000000" w:themeColor="text1"/>
          <w:sz w:val="28"/>
          <w:szCs w:val="28"/>
        </w:rPr>
        <w:t>ICRP Publication 1</w:t>
      </w:r>
      <w:r w:rsidR="0080555A">
        <w:rPr>
          <w:color w:val="000000" w:themeColor="text1"/>
          <w:sz w:val="28"/>
          <w:szCs w:val="28"/>
        </w:rPr>
        <w:t>X</w:t>
      </w:r>
      <w:r w:rsidRPr="0080555A">
        <w:rPr>
          <w:color w:val="000000" w:themeColor="text1"/>
          <w:sz w:val="28"/>
          <w:szCs w:val="28"/>
        </w:rPr>
        <w:t xml:space="preserve">X. </w:t>
      </w:r>
      <w:r w:rsidRPr="0080555A">
        <w:rPr>
          <w:color w:val="000000" w:themeColor="text1"/>
          <w:sz w:val="28"/>
          <w:szCs w:val="28"/>
          <w:lang w:val="en-US"/>
        </w:rPr>
        <w:t>Ann. ICRP xx(x).’</w:t>
      </w:r>
      <w:r w:rsidR="009E4000" w:rsidRPr="00AF2A12">
        <w:rPr>
          <w:b/>
          <w:color w:val="000000" w:themeColor="text1"/>
          <w:sz w:val="28"/>
          <w:szCs w:val="28"/>
          <w:lang w:val="en-US"/>
        </w:rPr>
        <w:br w:type="page"/>
      </w:r>
    </w:p>
    <w:p w14:paraId="415C2DB7" w14:textId="77777777" w:rsidR="004A6135" w:rsidRPr="00AF2A12" w:rsidRDefault="004A6135" w:rsidP="00667C97">
      <w:pPr>
        <w:pStyle w:val="10"/>
        <w:sectPr w:rsidR="004A6135" w:rsidRPr="00AF2A12" w:rsidSect="00D43963">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40" w:right="1440" w:bottom="1440" w:left="1440" w:header="720" w:footer="720" w:gutter="0"/>
          <w:lnNumType w:countBy="1" w:restart="continuous"/>
          <w:pgNumType w:start="1"/>
          <w:cols w:space="720"/>
          <w:noEndnote/>
          <w:docGrid w:linePitch="326"/>
        </w:sectPr>
      </w:pPr>
    </w:p>
    <w:p w14:paraId="4B213086" w14:textId="316086FF" w:rsidR="004A6135" w:rsidRPr="00667C97" w:rsidRDefault="00667C97" w:rsidP="008C0924">
      <w:pPr>
        <w:pStyle w:val="aff0"/>
        <w:jc w:val="center"/>
        <w:rPr>
          <w:rFonts w:ascii="Times New Roman" w:eastAsia="ＭＳ 明朝" w:hAnsi="Times New Roman" w:cs="Times New Roman"/>
          <w:b/>
          <w:caps/>
          <w:color w:val="000000" w:themeColor="text1"/>
          <w:kern w:val="28"/>
          <w:sz w:val="28"/>
          <w:szCs w:val="22"/>
          <w:lang w:val="en-GB" w:eastAsia="ja-JP"/>
        </w:rPr>
      </w:pPr>
      <w:r w:rsidRPr="00D56E6F">
        <w:rPr>
          <w:rFonts w:ascii="Times New Roman" w:eastAsia="ＭＳ 明朝" w:hAnsi="Times New Roman" w:cs="Times New Roman"/>
          <w:b/>
          <w:caps/>
          <w:color w:val="000000" w:themeColor="text1"/>
          <w:kern w:val="28"/>
          <w:sz w:val="28"/>
          <w:szCs w:val="22"/>
          <w:lang w:val="en-GB" w:eastAsia="ja-JP"/>
        </w:rPr>
        <w:lastRenderedPageBreak/>
        <w:t>Contents</w:t>
      </w:r>
    </w:p>
    <w:p w14:paraId="6A2C9EAE" w14:textId="389364B1" w:rsidR="00892BF1" w:rsidRDefault="00667C97">
      <w:pPr>
        <w:pStyle w:val="10"/>
        <w:rPr>
          <w:rFonts w:asciiTheme="minorHAnsi" w:eastAsiaTheme="minorEastAsia" w:hAnsiTheme="minorHAnsi" w:cstheme="minorBidi"/>
          <w:kern w:val="2"/>
          <w:sz w:val="24"/>
          <w:szCs w:val="24"/>
          <w14:ligatures w14:val="standardContextual"/>
        </w:rPr>
      </w:pPr>
      <w:r>
        <w:rPr>
          <w:lang w:val="en-US" w:eastAsia="en-US"/>
        </w:rPr>
        <w:fldChar w:fldCharType="begin"/>
      </w:r>
      <w:r>
        <w:rPr>
          <w:lang w:val="en-US" w:eastAsia="en-US"/>
        </w:rPr>
        <w:instrText xml:space="preserve"> TOC \o "1-3" \h \z \t "ICRP annex heading 1,1,ICRP annex heading 2,2" </w:instrText>
      </w:r>
      <w:r>
        <w:rPr>
          <w:lang w:val="en-US" w:eastAsia="en-US"/>
        </w:rPr>
        <w:fldChar w:fldCharType="separate"/>
      </w:r>
      <w:hyperlink w:anchor="_Toc166586795" w:history="1">
        <w:r w:rsidR="00E9263A">
          <w:rPr>
            <w:rStyle w:val="af1"/>
            <w:rFonts w:hint="eastAsia"/>
            <w:bCs/>
          </w:rPr>
          <w:t>ABSTRACT</w:t>
        </w:r>
        <w:r w:rsidR="00892BF1">
          <w:rPr>
            <w:webHidden/>
          </w:rPr>
          <w:tab/>
        </w:r>
        <w:r w:rsidR="00892BF1">
          <w:rPr>
            <w:webHidden/>
          </w:rPr>
          <w:fldChar w:fldCharType="begin"/>
        </w:r>
        <w:r w:rsidR="00892BF1">
          <w:rPr>
            <w:webHidden/>
          </w:rPr>
          <w:instrText xml:space="preserve"> PAGEREF _Toc166586795 \h </w:instrText>
        </w:r>
        <w:r w:rsidR="00892BF1">
          <w:rPr>
            <w:webHidden/>
          </w:rPr>
        </w:r>
        <w:r w:rsidR="00892BF1">
          <w:rPr>
            <w:webHidden/>
          </w:rPr>
          <w:fldChar w:fldCharType="separate"/>
        </w:r>
        <w:r w:rsidR="00FD584F">
          <w:rPr>
            <w:webHidden/>
          </w:rPr>
          <w:t>3</w:t>
        </w:r>
        <w:r w:rsidR="00892BF1">
          <w:rPr>
            <w:webHidden/>
          </w:rPr>
          <w:fldChar w:fldCharType="end"/>
        </w:r>
      </w:hyperlink>
    </w:p>
    <w:p w14:paraId="4CD0743E" w14:textId="28190A68" w:rsidR="00892BF1" w:rsidRDefault="00000000">
      <w:pPr>
        <w:pStyle w:val="10"/>
        <w:rPr>
          <w:rFonts w:asciiTheme="minorHAnsi" w:eastAsiaTheme="minorEastAsia" w:hAnsiTheme="minorHAnsi" w:cstheme="minorBidi"/>
          <w:kern w:val="2"/>
          <w:sz w:val="24"/>
          <w:szCs w:val="24"/>
          <w14:ligatures w14:val="standardContextual"/>
        </w:rPr>
      </w:pPr>
      <w:hyperlink w:anchor="_Toc166586796" w:history="1">
        <w:r w:rsidR="00892BF1" w:rsidRPr="00C706AD">
          <w:rPr>
            <w:rStyle w:val="af1"/>
          </w:rPr>
          <w:t>MAIN POINTS</w:t>
        </w:r>
        <w:r w:rsidR="00892BF1">
          <w:rPr>
            <w:webHidden/>
          </w:rPr>
          <w:tab/>
        </w:r>
        <w:r w:rsidR="00892BF1">
          <w:rPr>
            <w:webHidden/>
          </w:rPr>
          <w:fldChar w:fldCharType="begin"/>
        </w:r>
        <w:r w:rsidR="00892BF1">
          <w:rPr>
            <w:webHidden/>
          </w:rPr>
          <w:instrText xml:space="preserve"> PAGEREF _Toc166586796 \h </w:instrText>
        </w:r>
        <w:r w:rsidR="00892BF1">
          <w:rPr>
            <w:webHidden/>
          </w:rPr>
        </w:r>
        <w:r w:rsidR="00892BF1">
          <w:rPr>
            <w:webHidden/>
          </w:rPr>
          <w:fldChar w:fldCharType="separate"/>
        </w:r>
        <w:r w:rsidR="00FD584F">
          <w:rPr>
            <w:webHidden/>
          </w:rPr>
          <w:t>4</w:t>
        </w:r>
        <w:r w:rsidR="00892BF1">
          <w:rPr>
            <w:webHidden/>
          </w:rPr>
          <w:fldChar w:fldCharType="end"/>
        </w:r>
      </w:hyperlink>
    </w:p>
    <w:p w14:paraId="7408521A" w14:textId="1B4B1CAB" w:rsidR="00892BF1" w:rsidRDefault="00000000">
      <w:pPr>
        <w:pStyle w:val="10"/>
        <w:rPr>
          <w:rFonts w:asciiTheme="minorHAnsi" w:eastAsiaTheme="minorEastAsia" w:hAnsiTheme="minorHAnsi" w:cstheme="minorBidi"/>
          <w:kern w:val="2"/>
          <w:sz w:val="24"/>
          <w:szCs w:val="24"/>
          <w14:ligatures w14:val="standardContextual"/>
        </w:rPr>
      </w:pPr>
      <w:hyperlink w:anchor="_Toc166586797" w:history="1">
        <w:r w:rsidR="00892BF1" w:rsidRPr="00C706AD">
          <w:rPr>
            <w:rStyle w:val="af1"/>
            <w:rFonts w:eastAsia="PMingLiU"/>
            <w:snapToGrid w:val="0"/>
            <w:lang w:val="en-CA" w:eastAsia="en-US"/>
          </w:rPr>
          <w:t>1.</w:t>
        </w:r>
        <w:r w:rsidR="00892BF1">
          <w:rPr>
            <w:rFonts w:asciiTheme="minorHAnsi" w:eastAsiaTheme="minorEastAsia" w:hAnsiTheme="minorHAnsi" w:cstheme="minorBidi"/>
            <w:kern w:val="2"/>
            <w:sz w:val="24"/>
            <w:szCs w:val="24"/>
            <w14:ligatures w14:val="standardContextual"/>
          </w:rPr>
          <w:tab/>
        </w:r>
        <w:r w:rsidR="00892BF1" w:rsidRPr="00C706AD">
          <w:rPr>
            <w:rStyle w:val="af1"/>
            <w:rFonts w:eastAsia="PMingLiU"/>
            <w:snapToGrid w:val="0"/>
            <w:lang w:val="en-CA" w:eastAsia="en-US"/>
          </w:rPr>
          <w:t>INTRODUCTION</w:t>
        </w:r>
        <w:r w:rsidR="00892BF1">
          <w:rPr>
            <w:webHidden/>
          </w:rPr>
          <w:tab/>
        </w:r>
        <w:r w:rsidR="00892BF1">
          <w:rPr>
            <w:webHidden/>
          </w:rPr>
          <w:fldChar w:fldCharType="begin"/>
        </w:r>
        <w:r w:rsidR="00892BF1">
          <w:rPr>
            <w:webHidden/>
          </w:rPr>
          <w:instrText xml:space="preserve"> PAGEREF _Toc166586797 \h </w:instrText>
        </w:r>
        <w:r w:rsidR="00892BF1">
          <w:rPr>
            <w:webHidden/>
          </w:rPr>
        </w:r>
        <w:r w:rsidR="00892BF1">
          <w:rPr>
            <w:webHidden/>
          </w:rPr>
          <w:fldChar w:fldCharType="separate"/>
        </w:r>
        <w:r w:rsidR="00FD584F">
          <w:rPr>
            <w:webHidden/>
          </w:rPr>
          <w:t>5</w:t>
        </w:r>
        <w:r w:rsidR="00892BF1">
          <w:rPr>
            <w:webHidden/>
          </w:rPr>
          <w:fldChar w:fldCharType="end"/>
        </w:r>
      </w:hyperlink>
    </w:p>
    <w:p w14:paraId="7E4298A4" w14:textId="6C31FA5D"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798" w:history="1">
        <w:r w:rsidR="00892BF1" w:rsidRPr="00C706AD">
          <w:rPr>
            <w:rStyle w:val="af1"/>
            <w:rFonts w:eastAsia="PMingLiU"/>
            <w:noProof/>
            <w:snapToGrid w:val="0"/>
            <w:lang w:val="en-CA"/>
          </w:rPr>
          <w:t>1.1.</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Background</w:t>
        </w:r>
        <w:r w:rsidR="00892BF1">
          <w:rPr>
            <w:noProof/>
            <w:webHidden/>
          </w:rPr>
          <w:tab/>
        </w:r>
        <w:r w:rsidR="00892BF1">
          <w:rPr>
            <w:noProof/>
            <w:webHidden/>
          </w:rPr>
          <w:fldChar w:fldCharType="begin"/>
        </w:r>
        <w:r w:rsidR="00892BF1">
          <w:rPr>
            <w:noProof/>
            <w:webHidden/>
          </w:rPr>
          <w:instrText xml:space="preserve"> PAGEREF _Toc166586798 \h </w:instrText>
        </w:r>
        <w:r w:rsidR="00892BF1">
          <w:rPr>
            <w:noProof/>
            <w:webHidden/>
          </w:rPr>
        </w:r>
        <w:r w:rsidR="00892BF1">
          <w:rPr>
            <w:noProof/>
            <w:webHidden/>
          </w:rPr>
          <w:fldChar w:fldCharType="separate"/>
        </w:r>
        <w:r w:rsidR="00FD584F">
          <w:rPr>
            <w:noProof/>
            <w:webHidden/>
          </w:rPr>
          <w:t>5</w:t>
        </w:r>
        <w:r w:rsidR="00892BF1">
          <w:rPr>
            <w:noProof/>
            <w:webHidden/>
          </w:rPr>
          <w:fldChar w:fldCharType="end"/>
        </w:r>
      </w:hyperlink>
    </w:p>
    <w:p w14:paraId="5BE6CCAE" w14:textId="73AA6217"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799" w:history="1">
        <w:r w:rsidR="00892BF1" w:rsidRPr="00C706AD">
          <w:rPr>
            <w:rStyle w:val="af1"/>
            <w:noProof/>
          </w:rPr>
          <w:t>1.2.</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Scope</w:t>
        </w:r>
        <w:r w:rsidR="00892BF1">
          <w:rPr>
            <w:noProof/>
            <w:webHidden/>
          </w:rPr>
          <w:tab/>
        </w:r>
        <w:r w:rsidR="00892BF1">
          <w:rPr>
            <w:noProof/>
            <w:webHidden/>
          </w:rPr>
          <w:fldChar w:fldCharType="begin"/>
        </w:r>
        <w:r w:rsidR="00892BF1">
          <w:rPr>
            <w:noProof/>
            <w:webHidden/>
          </w:rPr>
          <w:instrText xml:space="preserve"> PAGEREF _Toc166586799 \h </w:instrText>
        </w:r>
        <w:r w:rsidR="00892BF1">
          <w:rPr>
            <w:noProof/>
            <w:webHidden/>
          </w:rPr>
        </w:r>
        <w:r w:rsidR="00892BF1">
          <w:rPr>
            <w:noProof/>
            <w:webHidden/>
          </w:rPr>
          <w:fldChar w:fldCharType="separate"/>
        </w:r>
        <w:r w:rsidR="00FD584F">
          <w:rPr>
            <w:noProof/>
            <w:webHidden/>
          </w:rPr>
          <w:t>6</w:t>
        </w:r>
        <w:r w:rsidR="00892BF1">
          <w:rPr>
            <w:noProof/>
            <w:webHidden/>
          </w:rPr>
          <w:fldChar w:fldCharType="end"/>
        </w:r>
      </w:hyperlink>
    </w:p>
    <w:p w14:paraId="404707DA" w14:textId="3C083FEF"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00" w:history="1">
        <w:r w:rsidR="00892BF1" w:rsidRPr="00C706AD">
          <w:rPr>
            <w:rStyle w:val="af1"/>
            <w:noProof/>
          </w:rPr>
          <w:t>1.3.</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Structure of publication</w:t>
        </w:r>
        <w:r w:rsidR="00892BF1">
          <w:rPr>
            <w:noProof/>
            <w:webHidden/>
          </w:rPr>
          <w:tab/>
        </w:r>
        <w:r w:rsidR="00892BF1">
          <w:rPr>
            <w:noProof/>
            <w:webHidden/>
          </w:rPr>
          <w:fldChar w:fldCharType="begin"/>
        </w:r>
        <w:r w:rsidR="00892BF1">
          <w:rPr>
            <w:noProof/>
            <w:webHidden/>
          </w:rPr>
          <w:instrText xml:space="preserve"> PAGEREF _Toc166586800 \h </w:instrText>
        </w:r>
        <w:r w:rsidR="00892BF1">
          <w:rPr>
            <w:noProof/>
            <w:webHidden/>
          </w:rPr>
        </w:r>
        <w:r w:rsidR="00892BF1">
          <w:rPr>
            <w:noProof/>
            <w:webHidden/>
          </w:rPr>
          <w:fldChar w:fldCharType="separate"/>
        </w:r>
        <w:r w:rsidR="00FD584F">
          <w:rPr>
            <w:noProof/>
            <w:webHidden/>
          </w:rPr>
          <w:t>7</w:t>
        </w:r>
        <w:r w:rsidR="00892BF1">
          <w:rPr>
            <w:noProof/>
            <w:webHidden/>
          </w:rPr>
          <w:fldChar w:fldCharType="end"/>
        </w:r>
      </w:hyperlink>
    </w:p>
    <w:p w14:paraId="00050B78" w14:textId="292A3EE9" w:rsidR="00892BF1" w:rsidRDefault="00000000">
      <w:pPr>
        <w:pStyle w:val="10"/>
        <w:rPr>
          <w:rFonts w:asciiTheme="minorHAnsi" w:eastAsiaTheme="minorEastAsia" w:hAnsiTheme="minorHAnsi" w:cstheme="minorBidi"/>
          <w:kern w:val="2"/>
          <w:sz w:val="24"/>
          <w:szCs w:val="24"/>
          <w14:ligatures w14:val="standardContextual"/>
        </w:rPr>
      </w:pPr>
      <w:hyperlink w:anchor="_Toc166586801" w:history="1">
        <w:r w:rsidR="00892BF1" w:rsidRPr="00C706AD">
          <w:rPr>
            <w:rStyle w:val="af1"/>
            <w:rFonts w:eastAsia="PMingLiU"/>
            <w:snapToGrid w:val="0"/>
            <w:lang w:val="en-CA" w:eastAsia="en-US"/>
          </w:rPr>
          <w:t>2.</w:t>
        </w:r>
        <w:r w:rsidR="00892BF1">
          <w:rPr>
            <w:rFonts w:asciiTheme="minorHAnsi" w:eastAsiaTheme="minorEastAsia" w:hAnsiTheme="minorHAnsi" w:cstheme="minorBidi"/>
            <w:kern w:val="2"/>
            <w:sz w:val="24"/>
            <w:szCs w:val="24"/>
            <w14:ligatures w14:val="standardContextual"/>
          </w:rPr>
          <w:tab/>
        </w:r>
        <w:r w:rsidR="00892BF1" w:rsidRPr="00C706AD">
          <w:rPr>
            <w:rStyle w:val="af1"/>
            <w:rFonts w:eastAsia="PMingLiU"/>
            <w:snapToGrid w:val="0"/>
            <w:lang w:val="en-CA" w:eastAsia="en-US"/>
          </w:rPr>
          <w:t>CHARACTERISTICS OF EXPOSURES FROM CONTAMINATED AREAS BY PAST ACTIVITIES</w:t>
        </w:r>
        <w:r w:rsidR="00892BF1">
          <w:rPr>
            <w:webHidden/>
          </w:rPr>
          <w:tab/>
        </w:r>
        <w:r w:rsidR="00892BF1">
          <w:rPr>
            <w:webHidden/>
          </w:rPr>
          <w:fldChar w:fldCharType="begin"/>
        </w:r>
        <w:r w:rsidR="00892BF1">
          <w:rPr>
            <w:webHidden/>
          </w:rPr>
          <w:instrText xml:space="preserve"> PAGEREF _Toc166586801 \h </w:instrText>
        </w:r>
        <w:r w:rsidR="00892BF1">
          <w:rPr>
            <w:webHidden/>
          </w:rPr>
        </w:r>
        <w:r w:rsidR="00892BF1">
          <w:rPr>
            <w:webHidden/>
          </w:rPr>
          <w:fldChar w:fldCharType="separate"/>
        </w:r>
        <w:r w:rsidR="00FD584F">
          <w:rPr>
            <w:webHidden/>
          </w:rPr>
          <w:t>8</w:t>
        </w:r>
        <w:r w:rsidR="00892BF1">
          <w:rPr>
            <w:webHidden/>
          </w:rPr>
          <w:fldChar w:fldCharType="end"/>
        </w:r>
      </w:hyperlink>
    </w:p>
    <w:p w14:paraId="5C95A2D4" w14:textId="4EA1E1BC"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02" w:history="1">
        <w:r w:rsidR="00892BF1" w:rsidRPr="00C706AD">
          <w:rPr>
            <w:rStyle w:val="af1"/>
            <w:noProof/>
          </w:rPr>
          <w:t>2.1.</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Exposure pathways and scenarios</w:t>
        </w:r>
        <w:r w:rsidR="00892BF1">
          <w:rPr>
            <w:noProof/>
            <w:webHidden/>
          </w:rPr>
          <w:tab/>
        </w:r>
        <w:r w:rsidR="00892BF1">
          <w:rPr>
            <w:noProof/>
            <w:webHidden/>
          </w:rPr>
          <w:fldChar w:fldCharType="begin"/>
        </w:r>
        <w:r w:rsidR="00892BF1">
          <w:rPr>
            <w:noProof/>
            <w:webHidden/>
          </w:rPr>
          <w:instrText xml:space="preserve"> PAGEREF _Toc166586802 \h </w:instrText>
        </w:r>
        <w:r w:rsidR="00892BF1">
          <w:rPr>
            <w:noProof/>
            <w:webHidden/>
          </w:rPr>
        </w:r>
        <w:r w:rsidR="00892BF1">
          <w:rPr>
            <w:noProof/>
            <w:webHidden/>
          </w:rPr>
          <w:fldChar w:fldCharType="separate"/>
        </w:r>
        <w:r w:rsidR="00FD584F">
          <w:rPr>
            <w:noProof/>
            <w:webHidden/>
          </w:rPr>
          <w:t>8</w:t>
        </w:r>
        <w:r w:rsidR="00892BF1">
          <w:rPr>
            <w:noProof/>
            <w:webHidden/>
          </w:rPr>
          <w:fldChar w:fldCharType="end"/>
        </w:r>
      </w:hyperlink>
    </w:p>
    <w:p w14:paraId="73948D9C" w14:textId="2AE57456"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03" w:history="1">
        <w:r w:rsidR="00892BF1" w:rsidRPr="00C706AD">
          <w:rPr>
            <w:rStyle w:val="af1"/>
            <w:noProof/>
          </w:rPr>
          <w:t>2.2.</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Overview of case studies</w:t>
        </w:r>
        <w:r w:rsidR="00892BF1">
          <w:rPr>
            <w:noProof/>
            <w:webHidden/>
          </w:rPr>
          <w:tab/>
        </w:r>
        <w:r w:rsidR="00892BF1">
          <w:rPr>
            <w:noProof/>
            <w:webHidden/>
          </w:rPr>
          <w:fldChar w:fldCharType="begin"/>
        </w:r>
        <w:r w:rsidR="00892BF1">
          <w:rPr>
            <w:noProof/>
            <w:webHidden/>
          </w:rPr>
          <w:instrText xml:space="preserve"> PAGEREF _Toc166586803 \h </w:instrText>
        </w:r>
        <w:r w:rsidR="00892BF1">
          <w:rPr>
            <w:noProof/>
            <w:webHidden/>
          </w:rPr>
        </w:r>
        <w:r w:rsidR="00892BF1">
          <w:rPr>
            <w:noProof/>
            <w:webHidden/>
          </w:rPr>
          <w:fldChar w:fldCharType="separate"/>
        </w:r>
        <w:r w:rsidR="00FD584F">
          <w:rPr>
            <w:noProof/>
            <w:webHidden/>
          </w:rPr>
          <w:t>9</w:t>
        </w:r>
        <w:r w:rsidR="00892BF1">
          <w:rPr>
            <w:noProof/>
            <w:webHidden/>
          </w:rPr>
          <w:fldChar w:fldCharType="end"/>
        </w:r>
      </w:hyperlink>
    </w:p>
    <w:p w14:paraId="25098545" w14:textId="775416BD"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04" w:history="1">
        <w:r w:rsidR="00892BF1" w:rsidRPr="00C706AD">
          <w:rPr>
            <w:rStyle w:val="af1"/>
            <w:noProof/>
          </w:rPr>
          <w:t>2.3.</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Practical experience from case studies</w:t>
        </w:r>
        <w:r w:rsidR="00892BF1">
          <w:rPr>
            <w:noProof/>
            <w:webHidden/>
          </w:rPr>
          <w:tab/>
        </w:r>
        <w:r w:rsidR="00892BF1">
          <w:rPr>
            <w:noProof/>
            <w:webHidden/>
          </w:rPr>
          <w:fldChar w:fldCharType="begin"/>
        </w:r>
        <w:r w:rsidR="00892BF1">
          <w:rPr>
            <w:noProof/>
            <w:webHidden/>
          </w:rPr>
          <w:instrText xml:space="preserve"> PAGEREF _Toc166586804 \h </w:instrText>
        </w:r>
        <w:r w:rsidR="00892BF1">
          <w:rPr>
            <w:noProof/>
            <w:webHidden/>
          </w:rPr>
        </w:r>
        <w:r w:rsidR="00892BF1">
          <w:rPr>
            <w:noProof/>
            <w:webHidden/>
          </w:rPr>
          <w:fldChar w:fldCharType="separate"/>
        </w:r>
        <w:r w:rsidR="00FD584F">
          <w:rPr>
            <w:noProof/>
            <w:webHidden/>
          </w:rPr>
          <w:t>13</w:t>
        </w:r>
        <w:r w:rsidR="00892BF1">
          <w:rPr>
            <w:noProof/>
            <w:webHidden/>
          </w:rPr>
          <w:fldChar w:fldCharType="end"/>
        </w:r>
      </w:hyperlink>
    </w:p>
    <w:p w14:paraId="794A7B9C" w14:textId="73753D51" w:rsidR="00892BF1" w:rsidRDefault="00000000">
      <w:pPr>
        <w:pStyle w:val="10"/>
        <w:rPr>
          <w:rFonts w:asciiTheme="minorHAnsi" w:eastAsiaTheme="minorEastAsia" w:hAnsiTheme="minorHAnsi" w:cstheme="minorBidi"/>
          <w:kern w:val="2"/>
          <w:sz w:val="24"/>
          <w:szCs w:val="24"/>
          <w14:ligatures w14:val="standardContextual"/>
        </w:rPr>
      </w:pPr>
      <w:hyperlink w:anchor="_Toc166586805" w:history="1">
        <w:r w:rsidR="00892BF1" w:rsidRPr="00C706AD">
          <w:rPr>
            <w:rStyle w:val="af1"/>
            <w:rFonts w:eastAsia="PMingLiU"/>
            <w:snapToGrid w:val="0"/>
            <w:lang w:val="en-CA" w:eastAsia="en-US"/>
          </w:rPr>
          <w:t>3.</w:t>
        </w:r>
        <w:r w:rsidR="00892BF1">
          <w:rPr>
            <w:rFonts w:asciiTheme="minorHAnsi" w:eastAsiaTheme="minorEastAsia" w:hAnsiTheme="minorHAnsi" w:cstheme="minorBidi"/>
            <w:kern w:val="2"/>
            <w:sz w:val="24"/>
            <w:szCs w:val="24"/>
            <w14:ligatures w14:val="standardContextual"/>
          </w:rPr>
          <w:tab/>
        </w:r>
        <w:r w:rsidR="00892BF1" w:rsidRPr="00C706AD">
          <w:rPr>
            <w:rStyle w:val="af1"/>
            <w:rFonts w:eastAsia="PMingLiU"/>
            <w:snapToGrid w:val="0"/>
            <w:lang w:val="en-CA" w:eastAsia="en-US"/>
          </w:rPr>
          <w:t>FUNDAMENTAL CONSIDERATIONS OF THE APPLICATION OF THE SYSTEM OF RADIOLOGICAL PROTECTION</w:t>
        </w:r>
        <w:r w:rsidR="00892BF1">
          <w:rPr>
            <w:webHidden/>
          </w:rPr>
          <w:tab/>
        </w:r>
        <w:r w:rsidR="00892BF1">
          <w:rPr>
            <w:webHidden/>
          </w:rPr>
          <w:fldChar w:fldCharType="begin"/>
        </w:r>
        <w:r w:rsidR="00892BF1">
          <w:rPr>
            <w:webHidden/>
          </w:rPr>
          <w:instrText xml:space="preserve"> PAGEREF _Toc166586805 \h </w:instrText>
        </w:r>
        <w:r w:rsidR="00892BF1">
          <w:rPr>
            <w:webHidden/>
          </w:rPr>
        </w:r>
        <w:r w:rsidR="00892BF1">
          <w:rPr>
            <w:webHidden/>
          </w:rPr>
          <w:fldChar w:fldCharType="separate"/>
        </w:r>
        <w:r w:rsidR="00FD584F">
          <w:rPr>
            <w:webHidden/>
          </w:rPr>
          <w:t>15</w:t>
        </w:r>
        <w:r w:rsidR="00892BF1">
          <w:rPr>
            <w:webHidden/>
          </w:rPr>
          <w:fldChar w:fldCharType="end"/>
        </w:r>
      </w:hyperlink>
    </w:p>
    <w:p w14:paraId="3974FDD1" w14:textId="16166803"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06" w:history="1">
        <w:r w:rsidR="00892BF1" w:rsidRPr="00C706AD">
          <w:rPr>
            <w:rStyle w:val="af1"/>
            <w:noProof/>
          </w:rPr>
          <w:t>3.1.</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rFonts w:eastAsia="PMingLiU"/>
            <w:caps/>
            <w:noProof/>
            <w:snapToGrid w:val="0"/>
            <w:lang w:val="en-CA" w:eastAsia="en-US"/>
          </w:rPr>
          <w:t>T</w:t>
        </w:r>
        <w:r w:rsidR="00892BF1" w:rsidRPr="00C706AD">
          <w:rPr>
            <w:rStyle w:val="af1"/>
            <w:noProof/>
          </w:rPr>
          <w:t>he radiological protection system and ethical considerations</w:t>
        </w:r>
        <w:r w:rsidR="00892BF1">
          <w:rPr>
            <w:noProof/>
            <w:webHidden/>
          </w:rPr>
          <w:tab/>
        </w:r>
        <w:r w:rsidR="00892BF1">
          <w:rPr>
            <w:noProof/>
            <w:webHidden/>
          </w:rPr>
          <w:fldChar w:fldCharType="begin"/>
        </w:r>
        <w:r w:rsidR="00892BF1">
          <w:rPr>
            <w:noProof/>
            <w:webHidden/>
          </w:rPr>
          <w:instrText xml:space="preserve"> PAGEREF _Toc166586806 \h </w:instrText>
        </w:r>
        <w:r w:rsidR="00892BF1">
          <w:rPr>
            <w:noProof/>
            <w:webHidden/>
          </w:rPr>
        </w:r>
        <w:r w:rsidR="00892BF1">
          <w:rPr>
            <w:noProof/>
            <w:webHidden/>
          </w:rPr>
          <w:fldChar w:fldCharType="separate"/>
        </w:r>
        <w:r w:rsidR="00FD584F">
          <w:rPr>
            <w:noProof/>
            <w:webHidden/>
          </w:rPr>
          <w:t>15</w:t>
        </w:r>
        <w:r w:rsidR="00892BF1">
          <w:rPr>
            <w:noProof/>
            <w:webHidden/>
          </w:rPr>
          <w:fldChar w:fldCharType="end"/>
        </w:r>
      </w:hyperlink>
    </w:p>
    <w:p w14:paraId="583A155D" w14:textId="2EC5F2AA"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07" w:history="1">
        <w:r w:rsidR="00892BF1" w:rsidRPr="00C706AD">
          <w:rPr>
            <w:rStyle w:val="af1"/>
            <w:noProof/>
          </w:rPr>
          <w:t>3.2.</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Type of exposure situation</w:t>
        </w:r>
        <w:r w:rsidR="00892BF1">
          <w:rPr>
            <w:noProof/>
            <w:webHidden/>
          </w:rPr>
          <w:tab/>
        </w:r>
        <w:r w:rsidR="00892BF1">
          <w:rPr>
            <w:noProof/>
            <w:webHidden/>
          </w:rPr>
          <w:fldChar w:fldCharType="begin"/>
        </w:r>
        <w:r w:rsidR="00892BF1">
          <w:rPr>
            <w:noProof/>
            <w:webHidden/>
          </w:rPr>
          <w:instrText xml:space="preserve"> PAGEREF _Toc166586807 \h </w:instrText>
        </w:r>
        <w:r w:rsidR="00892BF1">
          <w:rPr>
            <w:noProof/>
            <w:webHidden/>
          </w:rPr>
        </w:r>
        <w:r w:rsidR="00892BF1">
          <w:rPr>
            <w:noProof/>
            <w:webHidden/>
          </w:rPr>
          <w:fldChar w:fldCharType="separate"/>
        </w:r>
        <w:r w:rsidR="00FD584F">
          <w:rPr>
            <w:noProof/>
            <w:webHidden/>
          </w:rPr>
          <w:t>16</w:t>
        </w:r>
        <w:r w:rsidR="00892BF1">
          <w:rPr>
            <w:noProof/>
            <w:webHidden/>
          </w:rPr>
          <w:fldChar w:fldCharType="end"/>
        </w:r>
      </w:hyperlink>
    </w:p>
    <w:p w14:paraId="475273D7" w14:textId="0904A1A8"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08" w:history="1">
        <w:r w:rsidR="00892BF1" w:rsidRPr="00C706AD">
          <w:rPr>
            <w:rStyle w:val="af1"/>
            <w:noProof/>
          </w:rPr>
          <w:t>3.3.</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Justification of protection strategy</w:t>
        </w:r>
        <w:r w:rsidR="00892BF1">
          <w:rPr>
            <w:noProof/>
            <w:webHidden/>
          </w:rPr>
          <w:tab/>
        </w:r>
        <w:r w:rsidR="00892BF1">
          <w:rPr>
            <w:noProof/>
            <w:webHidden/>
          </w:rPr>
          <w:fldChar w:fldCharType="begin"/>
        </w:r>
        <w:r w:rsidR="00892BF1">
          <w:rPr>
            <w:noProof/>
            <w:webHidden/>
          </w:rPr>
          <w:instrText xml:space="preserve"> PAGEREF _Toc166586808 \h </w:instrText>
        </w:r>
        <w:r w:rsidR="00892BF1">
          <w:rPr>
            <w:noProof/>
            <w:webHidden/>
          </w:rPr>
        </w:r>
        <w:r w:rsidR="00892BF1">
          <w:rPr>
            <w:noProof/>
            <w:webHidden/>
          </w:rPr>
          <w:fldChar w:fldCharType="separate"/>
        </w:r>
        <w:r w:rsidR="00FD584F">
          <w:rPr>
            <w:noProof/>
            <w:webHidden/>
          </w:rPr>
          <w:t>17</w:t>
        </w:r>
        <w:r w:rsidR="00892BF1">
          <w:rPr>
            <w:noProof/>
            <w:webHidden/>
          </w:rPr>
          <w:fldChar w:fldCharType="end"/>
        </w:r>
      </w:hyperlink>
    </w:p>
    <w:p w14:paraId="4132DDE4" w14:textId="47C4C469"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09" w:history="1">
        <w:r w:rsidR="00892BF1" w:rsidRPr="00C706AD">
          <w:rPr>
            <w:rStyle w:val="af1"/>
            <w:noProof/>
          </w:rPr>
          <w:t>3.4.</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Optimisation of protection</w:t>
        </w:r>
        <w:r w:rsidR="00892BF1">
          <w:rPr>
            <w:noProof/>
            <w:webHidden/>
          </w:rPr>
          <w:tab/>
        </w:r>
        <w:r w:rsidR="00892BF1">
          <w:rPr>
            <w:noProof/>
            <w:webHidden/>
          </w:rPr>
          <w:fldChar w:fldCharType="begin"/>
        </w:r>
        <w:r w:rsidR="00892BF1">
          <w:rPr>
            <w:noProof/>
            <w:webHidden/>
          </w:rPr>
          <w:instrText xml:space="preserve"> PAGEREF _Toc166586809 \h </w:instrText>
        </w:r>
        <w:r w:rsidR="00892BF1">
          <w:rPr>
            <w:noProof/>
            <w:webHidden/>
          </w:rPr>
        </w:r>
        <w:r w:rsidR="00892BF1">
          <w:rPr>
            <w:noProof/>
            <w:webHidden/>
          </w:rPr>
          <w:fldChar w:fldCharType="separate"/>
        </w:r>
        <w:r w:rsidR="00FD584F">
          <w:rPr>
            <w:noProof/>
            <w:webHidden/>
          </w:rPr>
          <w:t>18</w:t>
        </w:r>
        <w:r w:rsidR="00892BF1">
          <w:rPr>
            <w:noProof/>
            <w:webHidden/>
          </w:rPr>
          <w:fldChar w:fldCharType="end"/>
        </w:r>
      </w:hyperlink>
    </w:p>
    <w:p w14:paraId="5777450D" w14:textId="03AC8713"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10" w:history="1">
        <w:r w:rsidR="00892BF1" w:rsidRPr="00C706AD">
          <w:rPr>
            <w:rStyle w:val="af1"/>
            <w:noProof/>
          </w:rPr>
          <w:t>3.5.</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Stakeholder engagement</w:t>
        </w:r>
        <w:r w:rsidR="00892BF1">
          <w:rPr>
            <w:noProof/>
            <w:webHidden/>
          </w:rPr>
          <w:tab/>
        </w:r>
        <w:r w:rsidR="00892BF1">
          <w:rPr>
            <w:noProof/>
            <w:webHidden/>
          </w:rPr>
          <w:fldChar w:fldCharType="begin"/>
        </w:r>
        <w:r w:rsidR="00892BF1">
          <w:rPr>
            <w:noProof/>
            <w:webHidden/>
          </w:rPr>
          <w:instrText xml:space="preserve"> PAGEREF _Toc166586810 \h </w:instrText>
        </w:r>
        <w:r w:rsidR="00892BF1">
          <w:rPr>
            <w:noProof/>
            <w:webHidden/>
          </w:rPr>
        </w:r>
        <w:r w:rsidR="00892BF1">
          <w:rPr>
            <w:noProof/>
            <w:webHidden/>
          </w:rPr>
          <w:fldChar w:fldCharType="separate"/>
        </w:r>
        <w:r w:rsidR="00FD584F">
          <w:rPr>
            <w:noProof/>
            <w:webHidden/>
          </w:rPr>
          <w:t>19</w:t>
        </w:r>
        <w:r w:rsidR="00892BF1">
          <w:rPr>
            <w:noProof/>
            <w:webHidden/>
          </w:rPr>
          <w:fldChar w:fldCharType="end"/>
        </w:r>
      </w:hyperlink>
    </w:p>
    <w:p w14:paraId="15A0D9AB" w14:textId="04003FCC" w:rsidR="00892BF1" w:rsidRDefault="00000000">
      <w:pPr>
        <w:pStyle w:val="10"/>
        <w:rPr>
          <w:rFonts w:asciiTheme="minorHAnsi" w:eastAsiaTheme="minorEastAsia" w:hAnsiTheme="minorHAnsi" w:cstheme="minorBidi"/>
          <w:kern w:val="2"/>
          <w:sz w:val="24"/>
          <w:szCs w:val="24"/>
          <w14:ligatures w14:val="standardContextual"/>
        </w:rPr>
      </w:pPr>
      <w:hyperlink w:anchor="_Toc166586811" w:history="1">
        <w:r w:rsidR="00892BF1" w:rsidRPr="00C706AD">
          <w:rPr>
            <w:rStyle w:val="af1"/>
            <w:rFonts w:eastAsia="PMingLiU"/>
            <w:snapToGrid w:val="0"/>
            <w:lang w:val="en-CA" w:eastAsia="en-US"/>
          </w:rPr>
          <w:t>4.</w:t>
        </w:r>
        <w:r w:rsidR="00892BF1">
          <w:rPr>
            <w:rFonts w:asciiTheme="minorHAnsi" w:eastAsiaTheme="minorEastAsia" w:hAnsiTheme="minorHAnsi" w:cstheme="minorBidi"/>
            <w:kern w:val="2"/>
            <w:sz w:val="24"/>
            <w:szCs w:val="24"/>
            <w14:ligatures w14:val="standardContextual"/>
          </w:rPr>
          <w:tab/>
        </w:r>
        <w:r w:rsidR="00892BF1" w:rsidRPr="00C706AD">
          <w:rPr>
            <w:rStyle w:val="af1"/>
            <w:rFonts w:eastAsia="PMingLiU"/>
            <w:snapToGrid w:val="0"/>
            <w:lang w:val="en-CA" w:eastAsia="en-US"/>
          </w:rPr>
          <w:t>IMPLEMENTATION OF THE COMMISSION’S SYSTEM OF RADIOLOGICAL PROTECTION TO AREAS CONTAMINATED BY PAST ACTIVITIES</w:t>
        </w:r>
        <w:r w:rsidR="00892BF1">
          <w:rPr>
            <w:webHidden/>
          </w:rPr>
          <w:tab/>
        </w:r>
        <w:r w:rsidR="00892BF1">
          <w:rPr>
            <w:webHidden/>
          </w:rPr>
          <w:fldChar w:fldCharType="begin"/>
        </w:r>
        <w:r w:rsidR="00892BF1">
          <w:rPr>
            <w:webHidden/>
          </w:rPr>
          <w:instrText xml:space="preserve"> PAGEREF _Toc166586811 \h </w:instrText>
        </w:r>
        <w:r w:rsidR="00892BF1">
          <w:rPr>
            <w:webHidden/>
          </w:rPr>
        </w:r>
        <w:r w:rsidR="00892BF1">
          <w:rPr>
            <w:webHidden/>
          </w:rPr>
          <w:fldChar w:fldCharType="separate"/>
        </w:r>
        <w:r w:rsidR="00FD584F">
          <w:rPr>
            <w:webHidden/>
          </w:rPr>
          <w:t>20</w:t>
        </w:r>
        <w:r w:rsidR="00892BF1">
          <w:rPr>
            <w:webHidden/>
          </w:rPr>
          <w:fldChar w:fldCharType="end"/>
        </w:r>
      </w:hyperlink>
    </w:p>
    <w:p w14:paraId="56CB35B5" w14:textId="76A5D897"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12" w:history="1">
        <w:r w:rsidR="00892BF1" w:rsidRPr="00C706AD">
          <w:rPr>
            <w:rStyle w:val="af1"/>
            <w:noProof/>
          </w:rPr>
          <w:t>4.1.</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General considerations</w:t>
        </w:r>
        <w:r w:rsidR="00892BF1">
          <w:rPr>
            <w:noProof/>
            <w:webHidden/>
          </w:rPr>
          <w:tab/>
        </w:r>
        <w:r w:rsidR="00892BF1">
          <w:rPr>
            <w:noProof/>
            <w:webHidden/>
          </w:rPr>
          <w:fldChar w:fldCharType="begin"/>
        </w:r>
        <w:r w:rsidR="00892BF1">
          <w:rPr>
            <w:noProof/>
            <w:webHidden/>
          </w:rPr>
          <w:instrText xml:space="preserve"> PAGEREF _Toc166586812 \h </w:instrText>
        </w:r>
        <w:r w:rsidR="00892BF1">
          <w:rPr>
            <w:noProof/>
            <w:webHidden/>
          </w:rPr>
        </w:r>
        <w:r w:rsidR="00892BF1">
          <w:rPr>
            <w:noProof/>
            <w:webHidden/>
          </w:rPr>
          <w:fldChar w:fldCharType="separate"/>
        </w:r>
        <w:r w:rsidR="00FD584F">
          <w:rPr>
            <w:noProof/>
            <w:webHidden/>
          </w:rPr>
          <w:t>20</w:t>
        </w:r>
        <w:r w:rsidR="00892BF1">
          <w:rPr>
            <w:noProof/>
            <w:webHidden/>
          </w:rPr>
          <w:fldChar w:fldCharType="end"/>
        </w:r>
      </w:hyperlink>
    </w:p>
    <w:p w14:paraId="4CD8509F" w14:textId="10D5B0B0"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13" w:history="1">
        <w:r w:rsidR="00892BF1" w:rsidRPr="00C706AD">
          <w:rPr>
            <w:rStyle w:val="af1"/>
            <w:noProof/>
          </w:rPr>
          <w:t>4.2.</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Recognition of the exposure situation</w:t>
        </w:r>
        <w:r w:rsidR="00892BF1">
          <w:rPr>
            <w:noProof/>
            <w:webHidden/>
          </w:rPr>
          <w:tab/>
        </w:r>
        <w:r w:rsidR="00892BF1">
          <w:rPr>
            <w:noProof/>
            <w:webHidden/>
          </w:rPr>
          <w:fldChar w:fldCharType="begin"/>
        </w:r>
        <w:r w:rsidR="00892BF1">
          <w:rPr>
            <w:noProof/>
            <w:webHidden/>
          </w:rPr>
          <w:instrText xml:space="preserve"> PAGEREF _Toc166586813 \h </w:instrText>
        </w:r>
        <w:r w:rsidR="00892BF1">
          <w:rPr>
            <w:noProof/>
            <w:webHidden/>
          </w:rPr>
        </w:r>
        <w:r w:rsidR="00892BF1">
          <w:rPr>
            <w:noProof/>
            <w:webHidden/>
          </w:rPr>
          <w:fldChar w:fldCharType="separate"/>
        </w:r>
        <w:r w:rsidR="00FD584F">
          <w:rPr>
            <w:noProof/>
            <w:webHidden/>
          </w:rPr>
          <w:t>21</w:t>
        </w:r>
        <w:r w:rsidR="00892BF1">
          <w:rPr>
            <w:noProof/>
            <w:webHidden/>
          </w:rPr>
          <w:fldChar w:fldCharType="end"/>
        </w:r>
      </w:hyperlink>
    </w:p>
    <w:p w14:paraId="2199C4DF" w14:textId="3FD87E7A"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14" w:history="1">
        <w:r w:rsidR="00892BF1" w:rsidRPr="00C706AD">
          <w:rPr>
            <w:rStyle w:val="af1"/>
            <w:noProof/>
          </w:rPr>
          <w:t>4.3.</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Characterisation of the exposure situation</w:t>
        </w:r>
        <w:r w:rsidR="00892BF1">
          <w:rPr>
            <w:noProof/>
            <w:webHidden/>
          </w:rPr>
          <w:tab/>
        </w:r>
        <w:r w:rsidR="00892BF1">
          <w:rPr>
            <w:noProof/>
            <w:webHidden/>
          </w:rPr>
          <w:fldChar w:fldCharType="begin"/>
        </w:r>
        <w:r w:rsidR="00892BF1">
          <w:rPr>
            <w:noProof/>
            <w:webHidden/>
          </w:rPr>
          <w:instrText xml:space="preserve"> PAGEREF _Toc166586814 \h </w:instrText>
        </w:r>
        <w:r w:rsidR="00892BF1">
          <w:rPr>
            <w:noProof/>
            <w:webHidden/>
          </w:rPr>
        </w:r>
        <w:r w:rsidR="00892BF1">
          <w:rPr>
            <w:noProof/>
            <w:webHidden/>
          </w:rPr>
          <w:fldChar w:fldCharType="separate"/>
        </w:r>
        <w:r w:rsidR="00FD584F">
          <w:rPr>
            <w:noProof/>
            <w:webHidden/>
          </w:rPr>
          <w:t>22</w:t>
        </w:r>
        <w:r w:rsidR="00892BF1">
          <w:rPr>
            <w:noProof/>
            <w:webHidden/>
          </w:rPr>
          <w:fldChar w:fldCharType="end"/>
        </w:r>
      </w:hyperlink>
    </w:p>
    <w:p w14:paraId="23226213" w14:textId="381C2BFF"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15" w:history="1">
        <w:r w:rsidR="00892BF1" w:rsidRPr="00C706AD">
          <w:rPr>
            <w:rStyle w:val="af1"/>
            <w:noProof/>
          </w:rPr>
          <w:t>4.4.</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Planning of remediation</w:t>
        </w:r>
        <w:r w:rsidR="00892BF1">
          <w:rPr>
            <w:noProof/>
            <w:webHidden/>
          </w:rPr>
          <w:tab/>
        </w:r>
        <w:r w:rsidR="00892BF1">
          <w:rPr>
            <w:noProof/>
            <w:webHidden/>
          </w:rPr>
          <w:fldChar w:fldCharType="begin"/>
        </w:r>
        <w:r w:rsidR="00892BF1">
          <w:rPr>
            <w:noProof/>
            <w:webHidden/>
          </w:rPr>
          <w:instrText xml:space="preserve"> PAGEREF _Toc166586815 \h </w:instrText>
        </w:r>
        <w:r w:rsidR="00892BF1">
          <w:rPr>
            <w:noProof/>
            <w:webHidden/>
          </w:rPr>
        </w:r>
        <w:r w:rsidR="00892BF1">
          <w:rPr>
            <w:noProof/>
            <w:webHidden/>
          </w:rPr>
          <w:fldChar w:fldCharType="separate"/>
        </w:r>
        <w:r w:rsidR="00FD584F">
          <w:rPr>
            <w:noProof/>
            <w:webHidden/>
          </w:rPr>
          <w:t>24</w:t>
        </w:r>
        <w:r w:rsidR="00892BF1">
          <w:rPr>
            <w:noProof/>
            <w:webHidden/>
          </w:rPr>
          <w:fldChar w:fldCharType="end"/>
        </w:r>
      </w:hyperlink>
    </w:p>
    <w:p w14:paraId="79193C2E" w14:textId="5DE085FF"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16" w:history="1">
        <w:r w:rsidR="00892BF1" w:rsidRPr="00C706AD">
          <w:rPr>
            <w:rStyle w:val="af1"/>
            <w:noProof/>
          </w:rPr>
          <w:t>4.5.</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Implementation of the remediation action plan</w:t>
        </w:r>
        <w:r w:rsidR="00892BF1">
          <w:rPr>
            <w:noProof/>
            <w:webHidden/>
          </w:rPr>
          <w:tab/>
        </w:r>
        <w:r w:rsidR="00892BF1">
          <w:rPr>
            <w:noProof/>
            <w:webHidden/>
          </w:rPr>
          <w:fldChar w:fldCharType="begin"/>
        </w:r>
        <w:r w:rsidR="00892BF1">
          <w:rPr>
            <w:noProof/>
            <w:webHidden/>
          </w:rPr>
          <w:instrText xml:space="preserve"> PAGEREF _Toc166586816 \h </w:instrText>
        </w:r>
        <w:r w:rsidR="00892BF1">
          <w:rPr>
            <w:noProof/>
            <w:webHidden/>
          </w:rPr>
        </w:r>
        <w:r w:rsidR="00892BF1">
          <w:rPr>
            <w:noProof/>
            <w:webHidden/>
          </w:rPr>
          <w:fldChar w:fldCharType="separate"/>
        </w:r>
        <w:r w:rsidR="00FD584F">
          <w:rPr>
            <w:noProof/>
            <w:webHidden/>
          </w:rPr>
          <w:t>32</w:t>
        </w:r>
        <w:r w:rsidR="00892BF1">
          <w:rPr>
            <w:noProof/>
            <w:webHidden/>
          </w:rPr>
          <w:fldChar w:fldCharType="end"/>
        </w:r>
      </w:hyperlink>
    </w:p>
    <w:p w14:paraId="5826A346" w14:textId="16149104"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17" w:history="1">
        <w:r w:rsidR="00892BF1" w:rsidRPr="00C706AD">
          <w:rPr>
            <w:rStyle w:val="af1"/>
            <w:noProof/>
          </w:rPr>
          <w:t>4.6.</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Post-remediation management</w:t>
        </w:r>
        <w:r w:rsidR="00892BF1">
          <w:rPr>
            <w:noProof/>
            <w:webHidden/>
          </w:rPr>
          <w:tab/>
        </w:r>
        <w:r w:rsidR="00892BF1">
          <w:rPr>
            <w:noProof/>
            <w:webHidden/>
          </w:rPr>
          <w:fldChar w:fldCharType="begin"/>
        </w:r>
        <w:r w:rsidR="00892BF1">
          <w:rPr>
            <w:noProof/>
            <w:webHidden/>
          </w:rPr>
          <w:instrText xml:space="preserve"> PAGEREF _Toc166586817 \h </w:instrText>
        </w:r>
        <w:r w:rsidR="00892BF1">
          <w:rPr>
            <w:noProof/>
            <w:webHidden/>
          </w:rPr>
        </w:r>
        <w:r w:rsidR="00892BF1">
          <w:rPr>
            <w:noProof/>
            <w:webHidden/>
          </w:rPr>
          <w:fldChar w:fldCharType="separate"/>
        </w:r>
        <w:r w:rsidR="00FD584F">
          <w:rPr>
            <w:noProof/>
            <w:webHidden/>
          </w:rPr>
          <w:t>32</w:t>
        </w:r>
        <w:r w:rsidR="00892BF1">
          <w:rPr>
            <w:noProof/>
            <w:webHidden/>
          </w:rPr>
          <w:fldChar w:fldCharType="end"/>
        </w:r>
      </w:hyperlink>
    </w:p>
    <w:p w14:paraId="5D52AA4A" w14:textId="648827F5" w:rsidR="00892BF1" w:rsidRDefault="00000000">
      <w:pPr>
        <w:pStyle w:val="10"/>
        <w:rPr>
          <w:rFonts w:asciiTheme="minorHAnsi" w:eastAsiaTheme="minorEastAsia" w:hAnsiTheme="minorHAnsi" w:cstheme="minorBidi"/>
          <w:kern w:val="2"/>
          <w:sz w:val="24"/>
          <w:szCs w:val="24"/>
          <w14:ligatures w14:val="standardContextual"/>
        </w:rPr>
      </w:pPr>
      <w:hyperlink w:anchor="_Toc166586818" w:history="1">
        <w:r w:rsidR="00892BF1" w:rsidRPr="00C706AD">
          <w:rPr>
            <w:rStyle w:val="af1"/>
            <w:snapToGrid w:val="0"/>
          </w:rPr>
          <w:t>5.</w:t>
        </w:r>
        <w:r w:rsidR="00892BF1">
          <w:rPr>
            <w:rFonts w:asciiTheme="minorHAnsi" w:eastAsiaTheme="minorEastAsia" w:hAnsiTheme="minorHAnsi" w:cstheme="minorBidi"/>
            <w:kern w:val="2"/>
            <w:sz w:val="24"/>
            <w:szCs w:val="24"/>
            <w14:ligatures w14:val="standardContextual"/>
          </w:rPr>
          <w:tab/>
        </w:r>
        <w:r w:rsidR="00892BF1" w:rsidRPr="00C706AD">
          <w:rPr>
            <w:rStyle w:val="af1"/>
            <w:snapToGrid w:val="0"/>
          </w:rPr>
          <w:t>CONCLUSIONS</w:t>
        </w:r>
        <w:r w:rsidR="00892BF1">
          <w:rPr>
            <w:webHidden/>
          </w:rPr>
          <w:tab/>
        </w:r>
        <w:r w:rsidR="00892BF1">
          <w:rPr>
            <w:webHidden/>
          </w:rPr>
          <w:fldChar w:fldCharType="begin"/>
        </w:r>
        <w:r w:rsidR="00892BF1">
          <w:rPr>
            <w:webHidden/>
          </w:rPr>
          <w:instrText xml:space="preserve"> PAGEREF _Toc166586818 \h </w:instrText>
        </w:r>
        <w:r w:rsidR="00892BF1">
          <w:rPr>
            <w:webHidden/>
          </w:rPr>
        </w:r>
        <w:r w:rsidR="00892BF1">
          <w:rPr>
            <w:webHidden/>
          </w:rPr>
          <w:fldChar w:fldCharType="separate"/>
        </w:r>
        <w:r w:rsidR="00FD584F">
          <w:rPr>
            <w:webHidden/>
          </w:rPr>
          <w:t>34</w:t>
        </w:r>
        <w:r w:rsidR="00892BF1">
          <w:rPr>
            <w:webHidden/>
          </w:rPr>
          <w:fldChar w:fldCharType="end"/>
        </w:r>
      </w:hyperlink>
    </w:p>
    <w:p w14:paraId="475BCE5F" w14:textId="1E9E3301" w:rsidR="00892BF1" w:rsidRDefault="00000000">
      <w:pPr>
        <w:pStyle w:val="10"/>
        <w:rPr>
          <w:rFonts w:asciiTheme="minorHAnsi" w:eastAsiaTheme="minorEastAsia" w:hAnsiTheme="minorHAnsi" w:cstheme="minorBidi"/>
          <w:kern w:val="2"/>
          <w:sz w:val="24"/>
          <w:szCs w:val="24"/>
          <w14:ligatures w14:val="standardContextual"/>
        </w:rPr>
      </w:pPr>
      <w:hyperlink w:anchor="_Toc166586819" w:history="1">
        <w:r w:rsidR="00892BF1" w:rsidRPr="00C706AD">
          <w:rPr>
            <w:rStyle w:val="af1"/>
            <w:bCs/>
          </w:rPr>
          <w:t>REFERENCES</w:t>
        </w:r>
        <w:r w:rsidR="00892BF1">
          <w:rPr>
            <w:webHidden/>
          </w:rPr>
          <w:tab/>
        </w:r>
        <w:r w:rsidR="00892BF1">
          <w:rPr>
            <w:webHidden/>
          </w:rPr>
          <w:fldChar w:fldCharType="begin"/>
        </w:r>
        <w:r w:rsidR="00892BF1">
          <w:rPr>
            <w:webHidden/>
          </w:rPr>
          <w:instrText xml:space="preserve"> PAGEREF _Toc166586819 \h </w:instrText>
        </w:r>
        <w:r w:rsidR="00892BF1">
          <w:rPr>
            <w:webHidden/>
          </w:rPr>
        </w:r>
        <w:r w:rsidR="00892BF1">
          <w:rPr>
            <w:webHidden/>
          </w:rPr>
          <w:fldChar w:fldCharType="separate"/>
        </w:r>
        <w:r w:rsidR="00FD584F">
          <w:rPr>
            <w:webHidden/>
          </w:rPr>
          <w:t>36</w:t>
        </w:r>
        <w:r w:rsidR="00892BF1">
          <w:rPr>
            <w:webHidden/>
          </w:rPr>
          <w:fldChar w:fldCharType="end"/>
        </w:r>
      </w:hyperlink>
    </w:p>
    <w:p w14:paraId="2808E529" w14:textId="530B72A3" w:rsidR="00892BF1" w:rsidRDefault="00000000">
      <w:pPr>
        <w:pStyle w:val="10"/>
        <w:tabs>
          <w:tab w:val="left" w:pos="1440"/>
        </w:tabs>
        <w:rPr>
          <w:rFonts w:asciiTheme="minorHAnsi" w:eastAsiaTheme="minorEastAsia" w:hAnsiTheme="minorHAnsi" w:cstheme="minorBidi"/>
          <w:kern w:val="2"/>
          <w:sz w:val="24"/>
          <w:szCs w:val="24"/>
          <w14:ligatures w14:val="standardContextual"/>
        </w:rPr>
      </w:pPr>
      <w:hyperlink w:anchor="_Toc166586820" w:history="1">
        <w:r w:rsidR="00892BF1" w:rsidRPr="00C706AD">
          <w:rPr>
            <w:rStyle w:val="af1"/>
          </w:rPr>
          <w:t>ANNEX A.</w:t>
        </w:r>
        <w:r w:rsidR="00892BF1">
          <w:rPr>
            <w:rFonts w:asciiTheme="minorHAnsi" w:eastAsiaTheme="minorEastAsia" w:hAnsiTheme="minorHAnsi" w:cstheme="minorBidi"/>
            <w:kern w:val="2"/>
            <w:sz w:val="24"/>
            <w:szCs w:val="24"/>
            <w14:ligatures w14:val="standardContextual"/>
          </w:rPr>
          <w:tab/>
        </w:r>
        <w:r w:rsidR="00892BF1" w:rsidRPr="00C706AD">
          <w:rPr>
            <w:rStyle w:val="af1"/>
          </w:rPr>
          <w:t>CASE STUDIES</w:t>
        </w:r>
        <w:r w:rsidR="00892BF1">
          <w:rPr>
            <w:webHidden/>
          </w:rPr>
          <w:tab/>
        </w:r>
        <w:r w:rsidR="00892BF1">
          <w:rPr>
            <w:webHidden/>
          </w:rPr>
          <w:fldChar w:fldCharType="begin"/>
        </w:r>
        <w:r w:rsidR="00892BF1">
          <w:rPr>
            <w:webHidden/>
          </w:rPr>
          <w:instrText xml:space="preserve"> PAGEREF _Toc166586820 \h </w:instrText>
        </w:r>
        <w:r w:rsidR="00892BF1">
          <w:rPr>
            <w:webHidden/>
          </w:rPr>
        </w:r>
        <w:r w:rsidR="00892BF1">
          <w:rPr>
            <w:webHidden/>
          </w:rPr>
          <w:fldChar w:fldCharType="separate"/>
        </w:r>
        <w:r w:rsidR="00FD584F">
          <w:rPr>
            <w:webHidden/>
          </w:rPr>
          <w:t>39</w:t>
        </w:r>
        <w:r w:rsidR="00892BF1">
          <w:rPr>
            <w:webHidden/>
          </w:rPr>
          <w:fldChar w:fldCharType="end"/>
        </w:r>
      </w:hyperlink>
    </w:p>
    <w:p w14:paraId="784C16C8" w14:textId="36B1D556"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21" w:history="1">
        <w:r w:rsidR="00892BF1" w:rsidRPr="00C706AD">
          <w:rPr>
            <w:rStyle w:val="af1"/>
            <w:noProof/>
          </w:rPr>
          <w:t>A.1.</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Stakeholder involvement in establishing radionuclide soil action levels at the Rocky Flats Plant</w:t>
        </w:r>
        <w:r w:rsidR="00892BF1">
          <w:rPr>
            <w:noProof/>
            <w:webHidden/>
          </w:rPr>
          <w:tab/>
        </w:r>
        <w:r w:rsidR="00892BF1">
          <w:rPr>
            <w:noProof/>
            <w:webHidden/>
          </w:rPr>
          <w:fldChar w:fldCharType="begin"/>
        </w:r>
        <w:r w:rsidR="00892BF1">
          <w:rPr>
            <w:noProof/>
            <w:webHidden/>
          </w:rPr>
          <w:instrText xml:space="preserve"> PAGEREF _Toc166586821 \h </w:instrText>
        </w:r>
        <w:r w:rsidR="00892BF1">
          <w:rPr>
            <w:noProof/>
            <w:webHidden/>
          </w:rPr>
        </w:r>
        <w:r w:rsidR="00892BF1">
          <w:rPr>
            <w:noProof/>
            <w:webHidden/>
          </w:rPr>
          <w:fldChar w:fldCharType="separate"/>
        </w:r>
        <w:r w:rsidR="00FD584F">
          <w:rPr>
            <w:noProof/>
            <w:webHidden/>
          </w:rPr>
          <w:t>39</w:t>
        </w:r>
        <w:r w:rsidR="00892BF1">
          <w:rPr>
            <w:noProof/>
            <w:webHidden/>
          </w:rPr>
          <w:fldChar w:fldCharType="end"/>
        </w:r>
      </w:hyperlink>
    </w:p>
    <w:p w14:paraId="1A12DC09" w14:textId="319FCBC8"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22" w:history="1">
        <w:r w:rsidR="00892BF1" w:rsidRPr="00C706AD">
          <w:rPr>
            <w:rStyle w:val="af1"/>
            <w:noProof/>
            <w:lang w:val="en-US"/>
          </w:rPr>
          <w:t>A.2.</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lang w:val="en-US"/>
          </w:rPr>
          <w:t>Rehabilitation of the former nuclear test site at Maralinga</w:t>
        </w:r>
        <w:r w:rsidR="00892BF1">
          <w:rPr>
            <w:noProof/>
            <w:webHidden/>
          </w:rPr>
          <w:tab/>
        </w:r>
        <w:r w:rsidR="00892BF1">
          <w:rPr>
            <w:noProof/>
            <w:webHidden/>
          </w:rPr>
          <w:fldChar w:fldCharType="begin"/>
        </w:r>
        <w:r w:rsidR="00892BF1">
          <w:rPr>
            <w:noProof/>
            <w:webHidden/>
          </w:rPr>
          <w:instrText xml:space="preserve"> PAGEREF _Toc166586822 \h </w:instrText>
        </w:r>
        <w:r w:rsidR="00892BF1">
          <w:rPr>
            <w:noProof/>
            <w:webHidden/>
          </w:rPr>
        </w:r>
        <w:r w:rsidR="00892BF1">
          <w:rPr>
            <w:noProof/>
            <w:webHidden/>
          </w:rPr>
          <w:fldChar w:fldCharType="separate"/>
        </w:r>
        <w:r w:rsidR="00FD584F">
          <w:rPr>
            <w:noProof/>
            <w:webHidden/>
          </w:rPr>
          <w:t>42</w:t>
        </w:r>
        <w:r w:rsidR="00892BF1">
          <w:rPr>
            <w:noProof/>
            <w:webHidden/>
          </w:rPr>
          <w:fldChar w:fldCharType="end"/>
        </w:r>
      </w:hyperlink>
    </w:p>
    <w:p w14:paraId="609015F7" w14:textId="107F1DAA"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23" w:history="1">
        <w:r w:rsidR="00892BF1" w:rsidRPr="00C706AD">
          <w:rPr>
            <w:rStyle w:val="af1"/>
            <w:noProof/>
            <w:lang w:val="en-US"/>
          </w:rPr>
          <w:t>A.3.</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lang w:val="en-US"/>
          </w:rPr>
          <w:t>Remediation of radium legacies from the Swiss watch industry</w:t>
        </w:r>
        <w:r w:rsidR="00892BF1">
          <w:rPr>
            <w:noProof/>
            <w:webHidden/>
          </w:rPr>
          <w:tab/>
        </w:r>
        <w:r w:rsidR="00892BF1">
          <w:rPr>
            <w:noProof/>
            <w:webHidden/>
          </w:rPr>
          <w:fldChar w:fldCharType="begin"/>
        </w:r>
        <w:r w:rsidR="00892BF1">
          <w:rPr>
            <w:noProof/>
            <w:webHidden/>
          </w:rPr>
          <w:instrText xml:space="preserve"> PAGEREF _Toc166586823 \h </w:instrText>
        </w:r>
        <w:r w:rsidR="00892BF1">
          <w:rPr>
            <w:noProof/>
            <w:webHidden/>
          </w:rPr>
        </w:r>
        <w:r w:rsidR="00892BF1">
          <w:rPr>
            <w:noProof/>
            <w:webHidden/>
          </w:rPr>
          <w:fldChar w:fldCharType="separate"/>
        </w:r>
        <w:r w:rsidR="00FD584F">
          <w:rPr>
            <w:noProof/>
            <w:webHidden/>
          </w:rPr>
          <w:t>45</w:t>
        </w:r>
        <w:r w:rsidR="00892BF1">
          <w:rPr>
            <w:noProof/>
            <w:webHidden/>
          </w:rPr>
          <w:fldChar w:fldCharType="end"/>
        </w:r>
      </w:hyperlink>
    </w:p>
    <w:p w14:paraId="12A796A0" w14:textId="4FFDBECA"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24" w:history="1">
        <w:r w:rsidR="00892BF1" w:rsidRPr="00C706AD">
          <w:rPr>
            <w:rStyle w:val="af1"/>
            <w:noProof/>
            <w:lang w:val="en-US"/>
          </w:rPr>
          <w:t>A.4.</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lang w:val="en-US"/>
          </w:rPr>
          <w:t>Techa River</w:t>
        </w:r>
        <w:r w:rsidR="00892BF1">
          <w:rPr>
            <w:noProof/>
            <w:webHidden/>
          </w:rPr>
          <w:tab/>
        </w:r>
        <w:r w:rsidR="00892BF1">
          <w:rPr>
            <w:noProof/>
            <w:webHidden/>
          </w:rPr>
          <w:fldChar w:fldCharType="begin"/>
        </w:r>
        <w:r w:rsidR="00892BF1">
          <w:rPr>
            <w:noProof/>
            <w:webHidden/>
          </w:rPr>
          <w:instrText xml:space="preserve"> PAGEREF _Toc166586824 \h </w:instrText>
        </w:r>
        <w:r w:rsidR="00892BF1">
          <w:rPr>
            <w:noProof/>
            <w:webHidden/>
          </w:rPr>
        </w:r>
        <w:r w:rsidR="00892BF1">
          <w:rPr>
            <w:noProof/>
            <w:webHidden/>
          </w:rPr>
          <w:fldChar w:fldCharType="separate"/>
        </w:r>
        <w:r w:rsidR="00FD584F">
          <w:rPr>
            <w:noProof/>
            <w:webHidden/>
          </w:rPr>
          <w:t>47</w:t>
        </w:r>
        <w:r w:rsidR="00892BF1">
          <w:rPr>
            <w:noProof/>
            <w:webHidden/>
          </w:rPr>
          <w:fldChar w:fldCharType="end"/>
        </w:r>
      </w:hyperlink>
    </w:p>
    <w:p w14:paraId="424A2F33" w14:textId="2E5CB674"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25" w:history="1">
        <w:r w:rsidR="00892BF1" w:rsidRPr="00C706AD">
          <w:rPr>
            <w:rStyle w:val="af1"/>
            <w:noProof/>
          </w:rPr>
          <w:t>A.5.</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Radium contamination at Dalgety Bay, Scotland</w:t>
        </w:r>
        <w:r w:rsidR="00892BF1">
          <w:rPr>
            <w:noProof/>
            <w:webHidden/>
          </w:rPr>
          <w:tab/>
        </w:r>
        <w:r w:rsidR="00892BF1">
          <w:rPr>
            <w:noProof/>
            <w:webHidden/>
          </w:rPr>
          <w:fldChar w:fldCharType="begin"/>
        </w:r>
        <w:r w:rsidR="00892BF1">
          <w:rPr>
            <w:noProof/>
            <w:webHidden/>
          </w:rPr>
          <w:instrText xml:space="preserve"> PAGEREF _Toc166586825 \h </w:instrText>
        </w:r>
        <w:r w:rsidR="00892BF1">
          <w:rPr>
            <w:noProof/>
            <w:webHidden/>
          </w:rPr>
        </w:r>
        <w:r w:rsidR="00892BF1">
          <w:rPr>
            <w:noProof/>
            <w:webHidden/>
          </w:rPr>
          <w:fldChar w:fldCharType="separate"/>
        </w:r>
        <w:r w:rsidR="00FD584F">
          <w:rPr>
            <w:noProof/>
            <w:webHidden/>
          </w:rPr>
          <w:t>52</w:t>
        </w:r>
        <w:r w:rsidR="00892BF1">
          <w:rPr>
            <w:noProof/>
            <w:webHidden/>
          </w:rPr>
          <w:fldChar w:fldCharType="end"/>
        </w:r>
      </w:hyperlink>
    </w:p>
    <w:p w14:paraId="33017E69" w14:textId="5AF93AB3" w:rsidR="00892BF1" w:rsidRDefault="00000000" w:rsidP="00C9053B">
      <w:pPr>
        <w:pStyle w:val="21"/>
        <w:rPr>
          <w:rFonts w:asciiTheme="minorHAnsi" w:eastAsiaTheme="minorEastAsia" w:hAnsiTheme="minorHAnsi" w:cstheme="minorBidi"/>
          <w:noProof/>
          <w:kern w:val="2"/>
          <w:sz w:val="24"/>
          <w:szCs w:val="24"/>
          <w14:ligatures w14:val="standardContextual"/>
        </w:rPr>
      </w:pPr>
      <w:hyperlink w:anchor="_Toc166586826" w:history="1">
        <w:r w:rsidR="00892BF1" w:rsidRPr="00C706AD">
          <w:rPr>
            <w:rStyle w:val="af1"/>
            <w:noProof/>
          </w:rPr>
          <w:t>A.6.</w:t>
        </w:r>
        <w:r w:rsidR="00892BF1">
          <w:rPr>
            <w:rFonts w:asciiTheme="minorHAnsi" w:eastAsiaTheme="minorEastAsia" w:hAnsiTheme="minorHAnsi" w:cstheme="minorBidi"/>
            <w:noProof/>
            <w:kern w:val="2"/>
            <w:sz w:val="24"/>
            <w:szCs w:val="24"/>
            <w14:ligatures w14:val="standardContextual"/>
          </w:rPr>
          <w:tab/>
        </w:r>
        <w:r w:rsidR="00892BF1" w:rsidRPr="00C706AD">
          <w:rPr>
            <w:rStyle w:val="af1"/>
            <w:noProof/>
          </w:rPr>
          <w:t>References</w:t>
        </w:r>
        <w:r w:rsidR="00892BF1">
          <w:rPr>
            <w:noProof/>
            <w:webHidden/>
          </w:rPr>
          <w:tab/>
        </w:r>
        <w:r w:rsidR="00892BF1">
          <w:rPr>
            <w:noProof/>
            <w:webHidden/>
          </w:rPr>
          <w:fldChar w:fldCharType="begin"/>
        </w:r>
        <w:r w:rsidR="00892BF1">
          <w:rPr>
            <w:noProof/>
            <w:webHidden/>
          </w:rPr>
          <w:instrText xml:space="preserve"> PAGEREF _Toc166586826 \h </w:instrText>
        </w:r>
        <w:r w:rsidR="00892BF1">
          <w:rPr>
            <w:noProof/>
            <w:webHidden/>
          </w:rPr>
        </w:r>
        <w:r w:rsidR="00892BF1">
          <w:rPr>
            <w:noProof/>
            <w:webHidden/>
          </w:rPr>
          <w:fldChar w:fldCharType="separate"/>
        </w:r>
        <w:r w:rsidR="00FD584F">
          <w:rPr>
            <w:noProof/>
            <w:webHidden/>
          </w:rPr>
          <w:t>56</w:t>
        </w:r>
        <w:r w:rsidR="00892BF1">
          <w:rPr>
            <w:noProof/>
            <w:webHidden/>
          </w:rPr>
          <w:fldChar w:fldCharType="end"/>
        </w:r>
      </w:hyperlink>
    </w:p>
    <w:p w14:paraId="5B5B558A" w14:textId="388A204C" w:rsidR="00892BF1" w:rsidRDefault="00000000">
      <w:pPr>
        <w:pStyle w:val="10"/>
        <w:rPr>
          <w:rFonts w:asciiTheme="minorHAnsi" w:eastAsiaTheme="minorEastAsia" w:hAnsiTheme="minorHAnsi" w:cstheme="minorBidi"/>
          <w:kern w:val="2"/>
          <w:sz w:val="24"/>
          <w:szCs w:val="24"/>
          <w14:ligatures w14:val="standardContextual"/>
        </w:rPr>
      </w:pPr>
      <w:hyperlink w:anchor="_Toc166586827" w:history="1">
        <w:r w:rsidR="00892BF1" w:rsidRPr="00C706AD">
          <w:rPr>
            <w:rStyle w:val="af1"/>
          </w:rPr>
          <w:t>GLOSSARY</w:t>
        </w:r>
        <w:r w:rsidR="00892BF1">
          <w:rPr>
            <w:webHidden/>
          </w:rPr>
          <w:tab/>
        </w:r>
        <w:r w:rsidR="00892BF1">
          <w:rPr>
            <w:webHidden/>
          </w:rPr>
          <w:fldChar w:fldCharType="begin"/>
        </w:r>
        <w:r w:rsidR="00892BF1">
          <w:rPr>
            <w:webHidden/>
          </w:rPr>
          <w:instrText xml:space="preserve"> PAGEREF _Toc166586827 \h </w:instrText>
        </w:r>
        <w:r w:rsidR="00892BF1">
          <w:rPr>
            <w:webHidden/>
          </w:rPr>
        </w:r>
        <w:r w:rsidR="00892BF1">
          <w:rPr>
            <w:webHidden/>
          </w:rPr>
          <w:fldChar w:fldCharType="separate"/>
        </w:r>
        <w:r w:rsidR="00FD584F">
          <w:rPr>
            <w:webHidden/>
          </w:rPr>
          <w:t>59</w:t>
        </w:r>
        <w:r w:rsidR="00892BF1">
          <w:rPr>
            <w:webHidden/>
          </w:rPr>
          <w:fldChar w:fldCharType="end"/>
        </w:r>
      </w:hyperlink>
    </w:p>
    <w:p w14:paraId="59ED6F57" w14:textId="172D279F" w:rsidR="00892BF1" w:rsidRDefault="00000000">
      <w:pPr>
        <w:pStyle w:val="10"/>
        <w:rPr>
          <w:rFonts w:asciiTheme="minorHAnsi" w:eastAsiaTheme="minorEastAsia" w:hAnsiTheme="minorHAnsi" w:cstheme="minorBidi"/>
          <w:kern w:val="2"/>
          <w:sz w:val="24"/>
          <w:szCs w:val="24"/>
          <w14:ligatures w14:val="standardContextual"/>
        </w:rPr>
      </w:pPr>
      <w:hyperlink w:anchor="_Toc166586828" w:history="1">
        <w:r w:rsidR="00892BF1" w:rsidRPr="00C706AD">
          <w:rPr>
            <w:rStyle w:val="af1"/>
          </w:rPr>
          <w:t>ACKNOWLEDGEMENTS</w:t>
        </w:r>
        <w:r w:rsidR="00892BF1">
          <w:rPr>
            <w:webHidden/>
          </w:rPr>
          <w:tab/>
        </w:r>
        <w:r w:rsidR="00892BF1">
          <w:rPr>
            <w:webHidden/>
          </w:rPr>
          <w:fldChar w:fldCharType="begin"/>
        </w:r>
        <w:r w:rsidR="00892BF1">
          <w:rPr>
            <w:webHidden/>
          </w:rPr>
          <w:instrText xml:space="preserve"> PAGEREF _Toc166586828 \h </w:instrText>
        </w:r>
        <w:r w:rsidR="00892BF1">
          <w:rPr>
            <w:webHidden/>
          </w:rPr>
        </w:r>
        <w:r w:rsidR="00892BF1">
          <w:rPr>
            <w:webHidden/>
          </w:rPr>
          <w:fldChar w:fldCharType="separate"/>
        </w:r>
        <w:r w:rsidR="00FD584F">
          <w:rPr>
            <w:webHidden/>
          </w:rPr>
          <w:t>60</w:t>
        </w:r>
        <w:r w:rsidR="00892BF1">
          <w:rPr>
            <w:webHidden/>
          </w:rPr>
          <w:fldChar w:fldCharType="end"/>
        </w:r>
      </w:hyperlink>
    </w:p>
    <w:p w14:paraId="450FE80E" w14:textId="04D53F24" w:rsidR="00667C97" w:rsidRPr="00667C97" w:rsidRDefault="00667C97" w:rsidP="00667C97">
      <w:pPr>
        <w:rPr>
          <w:lang w:val="en-US" w:eastAsia="en-US"/>
        </w:rPr>
        <w:sectPr w:rsidR="00667C97" w:rsidRPr="00667C97" w:rsidSect="00D43963">
          <w:type w:val="continuous"/>
          <w:pgSz w:w="11906" w:h="16838" w:code="9"/>
          <w:pgMar w:top="1440" w:right="1440" w:bottom="1797" w:left="1440" w:header="720" w:footer="720" w:gutter="0"/>
          <w:lnNumType w:countBy="1" w:restart="continuous"/>
          <w:cols w:space="720"/>
          <w:noEndnote/>
          <w:docGrid w:linePitch="326"/>
        </w:sectPr>
      </w:pPr>
      <w:r>
        <w:rPr>
          <w:lang w:val="en-US" w:eastAsia="en-US"/>
        </w:rPr>
        <w:fldChar w:fldCharType="end"/>
      </w:r>
    </w:p>
    <w:tbl>
      <w:tblPr>
        <w:tblW w:w="0" w:type="auto"/>
        <w:tblCellMar>
          <w:left w:w="0" w:type="dxa"/>
          <w:right w:w="0" w:type="dxa"/>
        </w:tblCellMar>
        <w:tblLook w:val="04A0" w:firstRow="1" w:lastRow="0" w:firstColumn="1" w:lastColumn="0" w:noHBand="0" w:noVBand="1"/>
      </w:tblPr>
      <w:tblGrid>
        <w:gridCol w:w="3036"/>
        <w:gridCol w:w="2973"/>
        <w:gridCol w:w="3017"/>
      </w:tblGrid>
      <w:tr w:rsidR="00DA3059" w:rsidRPr="002B5F68" w14:paraId="24ECF4AF" w14:textId="77777777" w:rsidTr="00065AEA">
        <w:trPr>
          <w:trHeight w:val="20"/>
        </w:trPr>
        <w:tc>
          <w:tcPr>
            <w:tcW w:w="3036" w:type="dxa"/>
            <w:shd w:val="clear" w:color="auto" w:fill="auto"/>
            <w:vAlign w:val="bottom"/>
          </w:tcPr>
          <w:p w14:paraId="721343A8" w14:textId="77777777" w:rsidR="00DA3059" w:rsidRPr="00FE17F7" w:rsidRDefault="00DA3059" w:rsidP="00D84B3E">
            <w:pPr>
              <w:pStyle w:val="ICRPbasic"/>
              <w:jc w:val="left"/>
            </w:pPr>
            <w:r w:rsidRPr="00FE17F7">
              <w:lastRenderedPageBreak/>
              <w:fldChar w:fldCharType="begin"/>
            </w:r>
            <w:r w:rsidRPr="00FE17F7">
              <w:instrText xml:space="preserve"> INCLUDEPICTURE "https://home.heinonline.org/wp-content/uploads/2020/09/SAGE_Logo.png" \* MERGEFORMATINET </w:instrText>
            </w:r>
            <w:r w:rsidRPr="00FE17F7">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fldChar w:fldCharType="begin"/>
            </w:r>
            <w:r>
              <w:instrText xml:space="preserve"> INCLUDEPICTURE  "https://home.heinonline.org/wp-content/uploads/2020/09/SAGE_Logo.png" \* MERGEFORMATINET </w:instrText>
            </w:r>
            <w: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6578E8">
              <w:rPr>
                <w:noProof/>
              </w:rPr>
              <w:fldChar w:fldCharType="begin"/>
            </w:r>
            <w:r w:rsidR="006578E8">
              <w:rPr>
                <w:noProof/>
              </w:rPr>
              <w:instrText xml:space="preserve"> INCLUDEPICTURE  "https://home.heinonline.org/wp-content/uploads/2020/09/SAGE_Logo.png" \* MERGEFORMATINET </w:instrText>
            </w:r>
            <w:r w:rsidR="006578E8">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CE614F">
              <w:rPr>
                <w:noProof/>
              </w:rPr>
              <w:fldChar w:fldCharType="begin"/>
            </w:r>
            <w:r w:rsidR="00CE614F">
              <w:rPr>
                <w:noProof/>
              </w:rPr>
              <w:instrText xml:space="preserve"> INCLUDEPICTURE  "https://home.heinonline.org/wp-content/uploads/2020/09/SAGE_Logo.png" \* MERGEFORMATINET </w:instrText>
            </w:r>
            <w:r w:rsidR="00CE614F">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C92893">
              <w:rPr>
                <w:noProof/>
              </w:rPr>
              <w:fldChar w:fldCharType="begin"/>
            </w:r>
            <w:r w:rsidR="00C92893">
              <w:rPr>
                <w:noProof/>
              </w:rPr>
              <w:instrText xml:space="preserve"> INCLUDEPICTURE  "https://home.heinonline.org/wp-content/uploads/2020/09/SAGE_Logo.png" \* MERGEFORMATINET </w:instrText>
            </w:r>
            <w:r w:rsidR="00C92893">
              <w:rPr>
                <w:noProof/>
              </w:rPr>
              <w:fldChar w:fldCharType="separate"/>
            </w:r>
            <w:r w:rsidR="00F56C2E">
              <w:rPr>
                <w:noProof/>
              </w:rPr>
              <w:fldChar w:fldCharType="begin"/>
            </w:r>
            <w:r w:rsidR="00F56C2E">
              <w:rPr>
                <w:noProof/>
              </w:rPr>
              <w:instrText xml:space="preserve"> INCLUDEPICTURE  "https://home.heinonline.org/wp-content/uploads/2020/09/SAGE_Logo.png" \* MERGEFORMATINET </w:instrText>
            </w:r>
            <w:r w:rsidR="00F56C2E">
              <w:rPr>
                <w:noProof/>
              </w:rPr>
              <w:fldChar w:fldCharType="separate"/>
            </w:r>
            <w:r w:rsidR="00040913">
              <w:rPr>
                <w:noProof/>
              </w:rPr>
              <w:fldChar w:fldCharType="begin"/>
            </w:r>
            <w:r w:rsidR="00040913">
              <w:rPr>
                <w:noProof/>
              </w:rPr>
              <w:instrText xml:space="preserve"> INCLUDEPICTURE  "https://home.heinonline.org/wp-content/uploads/2020/09/SAGE_Logo.png" \* MERGEFORMATINET </w:instrText>
            </w:r>
            <w:r w:rsidR="00040913">
              <w:rPr>
                <w:noProof/>
              </w:rPr>
              <w:fldChar w:fldCharType="separate"/>
            </w:r>
            <w:r w:rsidR="00800D9D">
              <w:rPr>
                <w:noProof/>
              </w:rPr>
              <w:fldChar w:fldCharType="begin"/>
            </w:r>
            <w:r w:rsidR="00800D9D">
              <w:rPr>
                <w:noProof/>
              </w:rPr>
              <w:instrText xml:space="preserve"> INCLUDEPICTURE  "https://home.heinonline.org/wp-content/uploads/2020/09/SAGE_Logo.png" \* MERGEFORMATINET </w:instrText>
            </w:r>
            <w:r w:rsidR="00800D9D">
              <w:rPr>
                <w:noProof/>
              </w:rPr>
              <w:fldChar w:fldCharType="separate"/>
            </w:r>
            <w:r w:rsidR="00D84B3E">
              <w:rPr>
                <w:noProof/>
              </w:rPr>
              <w:fldChar w:fldCharType="begin"/>
            </w:r>
            <w:r w:rsidR="00D84B3E">
              <w:rPr>
                <w:noProof/>
              </w:rPr>
              <w:instrText xml:space="preserve"> INCLUDEPICTURE  "https://home.heinonline.org/wp-content/uploads/2020/09/SAGE_Logo.png" \* MERGEFORMATINET </w:instrText>
            </w:r>
            <w:r w:rsidR="00D84B3E">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346349">
              <w:rPr>
                <w:noProof/>
              </w:rPr>
              <w:fldChar w:fldCharType="begin"/>
            </w:r>
            <w:r w:rsidR="00346349">
              <w:rPr>
                <w:noProof/>
              </w:rPr>
              <w:instrText xml:space="preserve"> INCLUDEPICTURE  "https://home.heinonline.org/wp-content/uploads/2020/09/SAGE_Logo.png" \* MERGEFORMATINET </w:instrText>
            </w:r>
            <w:r w:rsidR="00346349">
              <w:rPr>
                <w:noProof/>
              </w:rPr>
              <w:fldChar w:fldCharType="separate"/>
            </w:r>
            <w:r w:rsidR="0056537A">
              <w:rPr>
                <w:noProof/>
              </w:rPr>
              <w:fldChar w:fldCharType="begin"/>
            </w:r>
            <w:r w:rsidR="0056537A">
              <w:rPr>
                <w:noProof/>
              </w:rPr>
              <w:instrText xml:space="preserve"> INCLUDEPICTURE  "https://home.heinonline.org/wp-content/uploads/2020/09/SAGE_Logo.png" \* MERGEFORMATINET </w:instrText>
            </w:r>
            <w:r w:rsidR="0056537A">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3A10D5">
              <w:rPr>
                <w:noProof/>
              </w:rPr>
              <w:fldChar w:fldCharType="begin"/>
            </w:r>
            <w:r w:rsidR="003A10D5">
              <w:rPr>
                <w:noProof/>
              </w:rPr>
              <w:instrText xml:space="preserve"> INCLUDEPICTURE  "https://home.heinonline.org/wp-content/uploads/2020/09/SAGE_Logo.png" \* MERGEFORMATINET </w:instrText>
            </w:r>
            <w:r w:rsidR="003A10D5">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952525">
              <w:rPr>
                <w:noProof/>
              </w:rPr>
              <w:fldChar w:fldCharType="begin"/>
            </w:r>
            <w:r w:rsidR="00952525">
              <w:rPr>
                <w:noProof/>
              </w:rPr>
              <w:instrText xml:space="preserve"> INCLUDEPICTURE  "https://home.heinonline.org/wp-content/uploads/2020/09/SAGE_Logo.png" \* MERGEFORMATINET </w:instrText>
            </w:r>
            <w:r w:rsidR="00952525">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821374">
              <w:rPr>
                <w:noProof/>
              </w:rPr>
              <w:fldChar w:fldCharType="begin"/>
            </w:r>
            <w:r w:rsidR="00821374">
              <w:rPr>
                <w:noProof/>
              </w:rPr>
              <w:instrText xml:space="preserve"> INCLUDEPICTURE  "https://home.heinonline.org/wp-content/uploads/2020/09/SAGE_Logo.png" \* MERGEFORMATINET </w:instrText>
            </w:r>
            <w:r w:rsidR="00821374">
              <w:rPr>
                <w:noProof/>
              </w:rPr>
              <w:fldChar w:fldCharType="separate"/>
            </w:r>
            <w:r w:rsidR="00640980">
              <w:rPr>
                <w:noProof/>
              </w:rPr>
              <w:fldChar w:fldCharType="begin"/>
            </w:r>
            <w:r w:rsidR="00640980">
              <w:rPr>
                <w:noProof/>
              </w:rPr>
              <w:instrText xml:space="preserve"> INCLUDEPICTURE  "https://home.heinonline.org/wp-content/uploads/2020/09/SAGE_Logo.png" \* MERGEFORMATINET </w:instrText>
            </w:r>
            <w:r w:rsidR="00640980">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Pr>
                <w:noProof/>
              </w:rPr>
              <w:fldChar w:fldCharType="begin"/>
            </w:r>
            <w:r>
              <w:rPr>
                <w:noProof/>
              </w:rPr>
              <w:instrText xml:space="preserve"> INCLUDEPICTURE  "https://home.heinonline.org/wp-content/uploads/2020/09/SAGE_Logo.png" \* MERGEFORMATINET </w:instrText>
            </w:r>
            <w:r>
              <w:rPr>
                <w:noProof/>
              </w:rPr>
              <w:fldChar w:fldCharType="separate"/>
            </w:r>
            <w:r w:rsidR="00000000">
              <w:rPr>
                <w:noProof/>
              </w:rPr>
              <w:fldChar w:fldCharType="begin"/>
            </w:r>
            <w:r w:rsidR="00000000">
              <w:rPr>
                <w:noProof/>
              </w:rPr>
              <w:instrText xml:space="preserve"> INCLUDEPICTURE  "https://home.heinonline.org/wp-content/uploads/2020/09/SAGE_Logo.png" \* MERGEFORMATINET </w:instrText>
            </w:r>
            <w:r w:rsidR="00000000">
              <w:rPr>
                <w:noProof/>
              </w:rPr>
              <w:fldChar w:fldCharType="separate"/>
            </w:r>
            <w:r w:rsidR="008647A0">
              <w:rPr>
                <w:noProof/>
              </w:rPr>
              <w:pict w14:anchorId="32C04ACC">
                <v:shape id="_x0000_i1026" type="#_x0000_t75" alt="SAGE Journals - HeinOnline" style="width:113.25pt;height:34.6pt;mso-width-percent:0;mso-height-percent:0;mso-width-percent:0;mso-height-percent:0">
                  <v:imagedata r:id="rId8" r:href="rId16" croptop="8667f" cropbottom="9134f" cropleft="3966f" cropright="2256f" grayscale="t" bilevel="t"/>
                </v:shape>
              </w:pict>
            </w:r>
            <w:r w:rsidR="00000000">
              <w:rPr>
                <w:noProof/>
              </w:rPr>
              <w:fldChar w:fldCharType="end"/>
            </w:r>
            <w:r>
              <w:rPr>
                <w:noProof/>
              </w:rPr>
              <w:fldChar w:fldCharType="end"/>
            </w:r>
            <w:r>
              <w:rPr>
                <w:noProof/>
              </w:rPr>
              <w:fldChar w:fldCharType="end"/>
            </w:r>
            <w:r w:rsidR="00640980">
              <w:rPr>
                <w:noProof/>
              </w:rPr>
              <w:fldChar w:fldCharType="end"/>
            </w:r>
            <w:r w:rsidR="00821374">
              <w:rPr>
                <w:noProof/>
              </w:rPr>
              <w:fldChar w:fldCharType="end"/>
            </w:r>
            <w:r>
              <w:rPr>
                <w:noProof/>
              </w:rPr>
              <w:fldChar w:fldCharType="end"/>
            </w:r>
            <w:r>
              <w:rPr>
                <w:noProof/>
              </w:rPr>
              <w:fldChar w:fldCharType="end"/>
            </w:r>
            <w:r w:rsidR="00952525">
              <w:rPr>
                <w:noProof/>
              </w:rPr>
              <w:fldChar w:fldCharType="end"/>
            </w:r>
            <w:r>
              <w:rPr>
                <w:noProof/>
              </w:rPr>
              <w:fldChar w:fldCharType="end"/>
            </w:r>
            <w:r>
              <w:rPr>
                <w:noProof/>
              </w:rPr>
              <w:fldChar w:fldCharType="end"/>
            </w:r>
            <w:r w:rsidR="003A10D5">
              <w:rPr>
                <w:noProof/>
              </w:rPr>
              <w:fldChar w:fldCharType="end"/>
            </w:r>
            <w:r>
              <w:rPr>
                <w:noProof/>
              </w:rPr>
              <w:fldChar w:fldCharType="end"/>
            </w:r>
            <w:r>
              <w:rPr>
                <w:noProof/>
              </w:rPr>
              <w:fldChar w:fldCharType="end"/>
            </w:r>
            <w:r w:rsidR="0056537A">
              <w:rPr>
                <w:noProof/>
              </w:rPr>
              <w:fldChar w:fldCharType="end"/>
            </w:r>
            <w:r w:rsidR="00346349">
              <w:rPr>
                <w:noProof/>
              </w:rPr>
              <w:fldChar w:fldCharType="end"/>
            </w:r>
            <w:r>
              <w:rPr>
                <w:noProof/>
              </w:rPr>
              <w:fldChar w:fldCharType="end"/>
            </w:r>
            <w:r w:rsidR="00D84B3E">
              <w:rPr>
                <w:noProof/>
              </w:rPr>
              <w:fldChar w:fldCharType="end"/>
            </w:r>
            <w:r w:rsidR="00800D9D">
              <w:rPr>
                <w:noProof/>
              </w:rPr>
              <w:fldChar w:fldCharType="end"/>
            </w:r>
            <w:r w:rsidR="00040913">
              <w:rPr>
                <w:noProof/>
              </w:rPr>
              <w:fldChar w:fldCharType="end"/>
            </w:r>
            <w:r w:rsidR="00F56C2E">
              <w:rPr>
                <w:noProof/>
              </w:rPr>
              <w:fldChar w:fldCharType="end"/>
            </w:r>
            <w:r w:rsidR="00C92893">
              <w:rPr>
                <w:noProof/>
              </w:rPr>
              <w:fldChar w:fldCharType="end"/>
            </w:r>
            <w:r>
              <w:rPr>
                <w:noProof/>
              </w:rPr>
              <w:fldChar w:fldCharType="end"/>
            </w:r>
            <w:r>
              <w:rPr>
                <w:noProof/>
              </w:rPr>
              <w:fldChar w:fldCharType="end"/>
            </w:r>
            <w:r w:rsidR="00CE614F">
              <w:rPr>
                <w:noProof/>
              </w:rPr>
              <w:fldChar w:fldCharType="end"/>
            </w:r>
            <w:r>
              <w:rPr>
                <w:noProof/>
              </w:rPr>
              <w:fldChar w:fldCharType="end"/>
            </w:r>
            <w:r>
              <w:rPr>
                <w:noProof/>
              </w:rPr>
              <w:fldChar w:fldCharType="end"/>
            </w:r>
            <w:r>
              <w:rPr>
                <w:noProof/>
              </w:rPr>
              <w:fldChar w:fldCharType="end"/>
            </w:r>
            <w:r w:rsidR="006578E8">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rsidRPr="00FE17F7">
              <w:fldChar w:fldCharType="end"/>
            </w:r>
          </w:p>
        </w:tc>
        <w:tc>
          <w:tcPr>
            <w:tcW w:w="2973" w:type="dxa"/>
            <w:shd w:val="clear" w:color="auto" w:fill="auto"/>
            <w:vAlign w:val="bottom"/>
          </w:tcPr>
          <w:p w14:paraId="68176583" w14:textId="77777777" w:rsidR="00DA3059" w:rsidRPr="00FE17F7" w:rsidRDefault="00DA3059" w:rsidP="00D84B3E">
            <w:pPr>
              <w:pStyle w:val="ICRPbasic"/>
              <w:jc w:val="center"/>
            </w:pPr>
            <w:r w:rsidRPr="00FE17F7">
              <w:t>ICRP Publication XXX</w:t>
            </w:r>
          </w:p>
        </w:tc>
        <w:tc>
          <w:tcPr>
            <w:tcW w:w="3017" w:type="dxa"/>
            <w:shd w:val="clear" w:color="auto" w:fill="auto"/>
            <w:vAlign w:val="bottom"/>
          </w:tcPr>
          <w:p w14:paraId="649E3891" w14:textId="08CEDE8B" w:rsidR="00DA3059" w:rsidRPr="00FE17F7" w:rsidRDefault="00DA3059" w:rsidP="00D84B3E">
            <w:pPr>
              <w:pStyle w:val="ICRPbasic"/>
              <w:jc w:val="right"/>
            </w:pPr>
            <w:r>
              <w:rPr>
                <w:noProof/>
                <w:lang w:val="es-AR" w:eastAsia="es-AR"/>
              </w:rPr>
              <w:drawing>
                <wp:inline distT="0" distB="0" distL="0" distR="0" wp14:anchorId="16023AC5" wp14:editId="45527E94">
                  <wp:extent cx="1208405" cy="469265"/>
                  <wp:effectExtent l="0" t="0" r="0" b="6985"/>
                  <wp:docPr id="526637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grayscl/>
                            <a:biLevel thresh="50000"/>
                            <a:extLst>
                              <a:ext uri="{28A0092B-C50C-407E-A947-70E740481C1C}">
                                <a14:useLocalDpi xmlns:a14="http://schemas.microsoft.com/office/drawing/2010/main" val="0"/>
                              </a:ext>
                            </a:extLst>
                          </a:blip>
                          <a:srcRect/>
                          <a:stretch>
                            <a:fillRect/>
                          </a:stretch>
                        </pic:blipFill>
                        <pic:spPr bwMode="auto">
                          <a:xfrm>
                            <a:off x="0" y="0"/>
                            <a:ext cx="1208405" cy="469265"/>
                          </a:xfrm>
                          <a:prstGeom prst="rect">
                            <a:avLst/>
                          </a:prstGeom>
                          <a:noFill/>
                          <a:ln>
                            <a:noFill/>
                          </a:ln>
                        </pic:spPr>
                      </pic:pic>
                    </a:graphicData>
                  </a:graphic>
                </wp:inline>
              </w:drawing>
            </w:r>
          </w:p>
        </w:tc>
      </w:tr>
    </w:tbl>
    <w:p w14:paraId="08D0BA37" w14:textId="2A934EDE" w:rsidR="009E4000" w:rsidRPr="00FB33F1" w:rsidRDefault="003E64BC" w:rsidP="00DA3059">
      <w:pPr>
        <w:spacing w:before="480" w:after="480"/>
        <w:jc w:val="center"/>
        <w:rPr>
          <w:b/>
          <w:color w:val="000000" w:themeColor="text1"/>
          <w:sz w:val="32"/>
          <w:szCs w:val="32"/>
          <w:lang w:val="en-US"/>
        </w:rPr>
      </w:pPr>
      <w:r w:rsidRPr="00FB33F1">
        <w:rPr>
          <w:b/>
          <w:color w:val="000000" w:themeColor="text1"/>
          <w:sz w:val="32"/>
          <w:szCs w:val="32"/>
          <w:lang w:val="en-US"/>
        </w:rPr>
        <w:t>RADIOLOGICAL PROTECTION IN AREAS CONTAMINATED BY PAST ACTIVITIES</w:t>
      </w:r>
    </w:p>
    <w:p w14:paraId="56AE8874" w14:textId="1B2B52D2" w:rsidR="009E4000" w:rsidRPr="00AF2A12" w:rsidRDefault="009E4000" w:rsidP="00DA3059">
      <w:pPr>
        <w:pStyle w:val="Annalstext"/>
        <w:tabs>
          <w:tab w:val="clear" w:pos="851"/>
          <w:tab w:val="left" w:pos="284"/>
        </w:tabs>
        <w:spacing w:before="240" w:after="240"/>
        <w:jc w:val="center"/>
        <w:rPr>
          <w:color w:val="000000" w:themeColor="text1"/>
          <w:szCs w:val="24"/>
        </w:rPr>
      </w:pPr>
      <w:r w:rsidRPr="00AF2A12">
        <w:rPr>
          <w:color w:val="000000" w:themeColor="text1"/>
          <w:szCs w:val="24"/>
        </w:rPr>
        <w:t>ICRP PUBLICATION 1</w:t>
      </w:r>
      <w:r w:rsidR="00FD49D4" w:rsidRPr="00AF2A12">
        <w:rPr>
          <w:color w:val="000000" w:themeColor="text1"/>
          <w:szCs w:val="24"/>
        </w:rPr>
        <w:t>XX</w:t>
      </w:r>
    </w:p>
    <w:p w14:paraId="553DD063" w14:textId="71ED6C65" w:rsidR="009E4000" w:rsidRDefault="009E4000" w:rsidP="00DA3059">
      <w:pPr>
        <w:pStyle w:val="Annalstext"/>
        <w:tabs>
          <w:tab w:val="clear" w:pos="851"/>
          <w:tab w:val="left" w:pos="284"/>
        </w:tabs>
        <w:spacing w:before="240" w:after="240"/>
        <w:jc w:val="center"/>
        <w:rPr>
          <w:color w:val="000000" w:themeColor="text1"/>
          <w:szCs w:val="24"/>
        </w:rPr>
      </w:pPr>
      <w:r w:rsidRPr="00AF2A12">
        <w:rPr>
          <w:color w:val="000000" w:themeColor="text1"/>
          <w:szCs w:val="24"/>
        </w:rPr>
        <w:t xml:space="preserve">Approved by the Commission in </w:t>
      </w:r>
      <w:r w:rsidR="005B35B6" w:rsidRPr="00FE17F7">
        <w:t>MMMMM</w:t>
      </w:r>
      <w:r w:rsidRPr="00AF2A12">
        <w:rPr>
          <w:color w:val="000000" w:themeColor="text1"/>
          <w:szCs w:val="24"/>
        </w:rPr>
        <w:t xml:space="preserve"> 20</w:t>
      </w:r>
      <w:r w:rsidR="00623090" w:rsidRPr="00AF2A12">
        <w:rPr>
          <w:color w:val="000000" w:themeColor="text1"/>
          <w:szCs w:val="24"/>
        </w:rPr>
        <w:t>2</w:t>
      </w:r>
      <w:r w:rsidRPr="00AF2A12">
        <w:rPr>
          <w:color w:val="000000" w:themeColor="text1"/>
          <w:szCs w:val="24"/>
        </w:rPr>
        <w:t>X</w:t>
      </w:r>
    </w:p>
    <w:p w14:paraId="2BD07EB0" w14:textId="77777777" w:rsidR="00FB33F1" w:rsidRPr="00AF2A12" w:rsidRDefault="00FB33F1" w:rsidP="00DA3059">
      <w:pPr>
        <w:pStyle w:val="Annalstext"/>
        <w:tabs>
          <w:tab w:val="clear" w:pos="851"/>
          <w:tab w:val="left" w:pos="284"/>
        </w:tabs>
        <w:spacing w:before="240" w:after="240"/>
        <w:jc w:val="center"/>
        <w:rPr>
          <w:color w:val="000000" w:themeColor="text1"/>
          <w:szCs w:val="24"/>
        </w:rPr>
      </w:pPr>
    </w:p>
    <w:p w14:paraId="73EFC41D" w14:textId="1690E5AF" w:rsidR="004A6135" w:rsidRPr="00DA3059" w:rsidRDefault="009E4000" w:rsidP="00E6006F">
      <w:pPr>
        <w:pStyle w:val="1"/>
        <w:spacing w:after="240"/>
        <w:jc w:val="both"/>
        <w:rPr>
          <w:rFonts w:ascii="Times New Roman" w:hAnsi="Times New Roman"/>
          <w:b w:val="0"/>
          <w:bCs/>
          <w:color w:val="000000" w:themeColor="text1"/>
          <w:sz w:val="24"/>
          <w:szCs w:val="24"/>
        </w:rPr>
      </w:pPr>
      <w:bookmarkStart w:id="0" w:name="_Toc117873816"/>
      <w:bookmarkStart w:id="1" w:name="_Toc159397457"/>
      <w:bookmarkStart w:id="2" w:name="_Toc166586795"/>
      <w:r w:rsidRPr="00DA3059">
        <w:rPr>
          <w:rFonts w:ascii="Times New Roman" w:hAnsi="Times New Roman"/>
          <w:bCs/>
          <w:color w:val="000000" w:themeColor="text1"/>
          <w:sz w:val="24"/>
          <w:szCs w:val="24"/>
        </w:rPr>
        <w:t>Abstract</w:t>
      </w:r>
      <w:bookmarkEnd w:id="0"/>
      <w:r w:rsidR="00DA3059" w:rsidRPr="00DA3059">
        <w:rPr>
          <w:rFonts w:ascii="Times New Roman" w:hAnsi="Times New Roman"/>
          <w:bCs/>
          <w:color w:val="000000" w:themeColor="text1"/>
          <w:sz w:val="24"/>
          <w:szCs w:val="24"/>
        </w:rPr>
        <w:t>–</w:t>
      </w:r>
      <w:r w:rsidR="0053651E" w:rsidRPr="00DA3059">
        <w:rPr>
          <w:rFonts w:ascii="Times New Roman" w:hAnsi="Times New Roman"/>
          <w:b w:val="0"/>
          <w:bCs/>
          <w:color w:val="000000" w:themeColor="text1"/>
          <w:sz w:val="24"/>
          <w:szCs w:val="24"/>
        </w:rPr>
        <w:t xml:space="preserve">This publication </w:t>
      </w:r>
      <w:r w:rsidR="000C2D15" w:rsidRPr="00DA3059">
        <w:rPr>
          <w:rFonts w:ascii="Times New Roman" w:hAnsi="Times New Roman"/>
          <w:b w:val="0"/>
          <w:bCs/>
          <w:color w:val="000000" w:themeColor="text1"/>
          <w:sz w:val="24"/>
          <w:szCs w:val="24"/>
        </w:rPr>
        <w:t xml:space="preserve">addresses the protection of </w:t>
      </w:r>
      <w:r w:rsidR="00722BF5" w:rsidRPr="00DA3059">
        <w:rPr>
          <w:rFonts w:ascii="Times New Roman" w:hAnsi="Times New Roman"/>
          <w:b w:val="0"/>
          <w:bCs/>
          <w:color w:val="000000" w:themeColor="text1"/>
          <w:sz w:val="24"/>
          <w:szCs w:val="24"/>
        </w:rPr>
        <w:t>workers,</w:t>
      </w:r>
      <w:r w:rsidR="00BA5B01" w:rsidRPr="00DA3059">
        <w:rPr>
          <w:rFonts w:ascii="Times New Roman" w:hAnsi="Times New Roman"/>
          <w:b w:val="0"/>
          <w:bCs/>
          <w:color w:val="000000" w:themeColor="text1"/>
          <w:sz w:val="24"/>
          <w:szCs w:val="24"/>
        </w:rPr>
        <w:t xml:space="preserve"> </w:t>
      </w:r>
      <w:r w:rsidR="000C2D15" w:rsidRPr="00DA3059">
        <w:rPr>
          <w:rFonts w:ascii="Times New Roman" w:hAnsi="Times New Roman"/>
          <w:b w:val="0"/>
          <w:bCs/>
          <w:color w:val="000000" w:themeColor="text1"/>
          <w:sz w:val="24"/>
          <w:szCs w:val="24"/>
        </w:rPr>
        <w:t>the public</w:t>
      </w:r>
      <w:r w:rsidR="00BA5B01" w:rsidRPr="00DA3059">
        <w:rPr>
          <w:rFonts w:ascii="Times New Roman" w:hAnsi="Times New Roman"/>
          <w:b w:val="0"/>
          <w:bCs/>
          <w:color w:val="000000" w:themeColor="text1"/>
          <w:sz w:val="24"/>
          <w:szCs w:val="24"/>
        </w:rPr>
        <w:t>,</w:t>
      </w:r>
      <w:r w:rsidR="000C2D15" w:rsidRPr="00DA3059">
        <w:rPr>
          <w:rFonts w:ascii="Times New Roman" w:hAnsi="Times New Roman"/>
          <w:b w:val="0"/>
          <w:bCs/>
          <w:color w:val="000000" w:themeColor="text1"/>
          <w:sz w:val="24"/>
          <w:szCs w:val="24"/>
        </w:rPr>
        <w:t xml:space="preserve"> and the environment in </w:t>
      </w:r>
      <w:r w:rsidR="004742CA" w:rsidRPr="00DA3059">
        <w:rPr>
          <w:rFonts w:ascii="Times New Roman" w:hAnsi="Times New Roman"/>
          <w:b w:val="0"/>
          <w:bCs/>
          <w:color w:val="000000" w:themeColor="text1"/>
          <w:sz w:val="24"/>
          <w:szCs w:val="24"/>
        </w:rPr>
        <w:t xml:space="preserve">contaminated </w:t>
      </w:r>
      <w:r w:rsidR="000C2D15" w:rsidRPr="00DA3059">
        <w:rPr>
          <w:rFonts w:ascii="Times New Roman" w:hAnsi="Times New Roman"/>
          <w:b w:val="0"/>
          <w:bCs/>
          <w:color w:val="000000" w:themeColor="text1"/>
          <w:sz w:val="24"/>
          <w:szCs w:val="24"/>
        </w:rPr>
        <w:t xml:space="preserve">areas where radioactivity is present </w:t>
      </w:r>
      <w:r w:rsidR="0043097D" w:rsidRPr="00DA3059">
        <w:rPr>
          <w:rFonts w:ascii="Times New Roman" w:hAnsi="Times New Roman"/>
          <w:b w:val="0"/>
          <w:bCs/>
          <w:color w:val="000000" w:themeColor="text1"/>
          <w:sz w:val="24"/>
          <w:szCs w:val="24"/>
        </w:rPr>
        <w:t>because of</w:t>
      </w:r>
      <w:r w:rsidR="000C2D15" w:rsidRPr="00DA3059">
        <w:rPr>
          <w:rFonts w:ascii="Times New Roman" w:hAnsi="Times New Roman"/>
          <w:b w:val="0"/>
          <w:bCs/>
          <w:color w:val="000000" w:themeColor="text1"/>
          <w:sz w:val="24"/>
          <w:szCs w:val="24"/>
        </w:rPr>
        <w:t xml:space="preserve"> past activities</w:t>
      </w:r>
      <w:r w:rsidR="002F5027" w:rsidRPr="00DA3059">
        <w:rPr>
          <w:rFonts w:ascii="Times New Roman" w:hAnsi="Times New Roman"/>
          <w:b w:val="0"/>
          <w:bCs/>
          <w:color w:val="000000" w:themeColor="text1"/>
          <w:sz w:val="24"/>
          <w:szCs w:val="24"/>
        </w:rPr>
        <w:t>, excluding exposures in the post-accidental phase after a nuclear emergency</w:t>
      </w:r>
      <w:r w:rsidR="000C2D15" w:rsidRPr="00DA3059">
        <w:rPr>
          <w:rFonts w:ascii="Times New Roman" w:hAnsi="Times New Roman"/>
          <w:b w:val="0"/>
          <w:bCs/>
          <w:color w:val="000000" w:themeColor="text1"/>
          <w:sz w:val="24"/>
          <w:szCs w:val="24"/>
        </w:rPr>
        <w:t xml:space="preserve">. </w:t>
      </w:r>
      <w:r w:rsidR="00902311" w:rsidRPr="00DA3059">
        <w:rPr>
          <w:rFonts w:ascii="Times New Roman" w:hAnsi="Times New Roman"/>
          <w:b w:val="0"/>
          <w:bCs/>
          <w:color w:val="000000" w:themeColor="text1"/>
          <w:sz w:val="24"/>
          <w:szCs w:val="24"/>
        </w:rPr>
        <w:t xml:space="preserve">In the ICRP system of </w:t>
      </w:r>
      <w:r w:rsidR="007A2B25" w:rsidRPr="00DA3059">
        <w:rPr>
          <w:rFonts w:ascii="Times New Roman" w:hAnsi="Times New Roman"/>
          <w:b w:val="0"/>
          <w:bCs/>
          <w:color w:val="000000" w:themeColor="text1"/>
          <w:sz w:val="24"/>
          <w:szCs w:val="24"/>
        </w:rPr>
        <w:t xml:space="preserve">radiological </w:t>
      </w:r>
      <w:r w:rsidR="00902311" w:rsidRPr="00DA3059">
        <w:rPr>
          <w:rFonts w:ascii="Times New Roman" w:hAnsi="Times New Roman"/>
          <w:b w:val="0"/>
          <w:bCs/>
          <w:color w:val="000000" w:themeColor="text1"/>
          <w:sz w:val="24"/>
          <w:szCs w:val="24"/>
        </w:rPr>
        <w:t xml:space="preserve">protection, </w:t>
      </w:r>
      <w:r w:rsidR="009A3A7A" w:rsidRPr="00DA3059">
        <w:rPr>
          <w:rFonts w:ascii="Times New Roman" w:hAnsi="Times New Roman"/>
          <w:b w:val="0"/>
          <w:bCs/>
          <w:color w:val="000000" w:themeColor="text1"/>
          <w:sz w:val="24"/>
          <w:szCs w:val="24"/>
        </w:rPr>
        <w:t xml:space="preserve">exposures associated with </w:t>
      </w:r>
      <w:r w:rsidR="00902311" w:rsidRPr="00DA3059">
        <w:rPr>
          <w:rFonts w:ascii="Times New Roman" w:hAnsi="Times New Roman"/>
          <w:b w:val="0"/>
          <w:bCs/>
          <w:color w:val="000000" w:themeColor="text1"/>
          <w:sz w:val="24"/>
          <w:szCs w:val="24"/>
        </w:rPr>
        <w:t>t</w:t>
      </w:r>
      <w:r w:rsidR="000C2D15" w:rsidRPr="00DA3059">
        <w:rPr>
          <w:rFonts w:ascii="Times New Roman" w:hAnsi="Times New Roman"/>
          <w:b w:val="0"/>
          <w:bCs/>
          <w:color w:val="000000" w:themeColor="text1"/>
          <w:sz w:val="24"/>
          <w:szCs w:val="24"/>
        </w:rPr>
        <w:t xml:space="preserve">hese contaminated areas are </w:t>
      </w:r>
      <w:r w:rsidR="00E83235" w:rsidRPr="00DA3059">
        <w:rPr>
          <w:rFonts w:ascii="Times New Roman" w:hAnsi="Times New Roman"/>
          <w:b w:val="0"/>
          <w:bCs/>
          <w:color w:val="000000" w:themeColor="text1"/>
          <w:sz w:val="24"/>
          <w:szCs w:val="24"/>
        </w:rPr>
        <w:t>manage</w:t>
      </w:r>
      <w:r w:rsidR="00967264" w:rsidRPr="00DA3059">
        <w:rPr>
          <w:rFonts w:ascii="Times New Roman" w:hAnsi="Times New Roman"/>
          <w:b w:val="0"/>
          <w:bCs/>
          <w:color w:val="000000" w:themeColor="text1"/>
          <w:sz w:val="24"/>
          <w:szCs w:val="24"/>
        </w:rPr>
        <w:t>d</w:t>
      </w:r>
      <w:r w:rsidR="00E83235" w:rsidRPr="00DA3059">
        <w:rPr>
          <w:rFonts w:ascii="Times New Roman" w:hAnsi="Times New Roman"/>
          <w:b w:val="0"/>
          <w:bCs/>
          <w:color w:val="000000" w:themeColor="text1"/>
          <w:sz w:val="24"/>
          <w:szCs w:val="24"/>
        </w:rPr>
        <w:t xml:space="preserve"> in the framework of</w:t>
      </w:r>
      <w:r w:rsidR="004742CA" w:rsidRPr="00DA3059">
        <w:rPr>
          <w:rFonts w:ascii="Times New Roman" w:hAnsi="Times New Roman"/>
          <w:b w:val="0"/>
          <w:bCs/>
          <w:color w:val="000000" w:themeColor="text1"/>
          <w:sz w:val="24"/>
          <w:szCs w:val="24"/>
        </w:rPr>
        <w:t xml:space="preserve"> </w:t>
      </w:r>
      <w:r w:rsidR="000C2D15" w:rsidRPr="00DA3059">
        <w:rPr>
          <w:rFonts w:ascii="Times New Roman" w:hAnsi="Times New Roman"/>
          <w:b w:val="0"/>
          <w:bCs/>
          <w:color w:val="000000" w:themeColor="text1"/>
          <w:sz w:val="24"/>
          <w:szCs w:val="24"/>
        </w:rPr>
        <w:t>existing exposure situations. M</w:t>
      </w:r>
      <w:r w:rsidR="00E04004" w:rsidRPr="00DA3059">
        <w:rPr>
          <w:rFonts w:ascii="Times New Roman" w:hAnsi="Times New Roman"/>
          <w:b w:val="0"/>
          <w:bCs/>
          <w:color w:val="000000" w:themeColor="text1"/>
          <w:sz w:val="24"/>
          <w:szCs w:val="24"/>
        </w:rPr>
        <w:t xml:space="preserve">aking radiological protection decisions concerning the management of </w:t>
      </w:r>
      <w:r w:rsidR="00722BF5" w:rsidRPr="00DA3059">
        <w:rPr>
          <w:rFonts w:ascii="Times New Roman" w:hAnsi="Times New Roman"/>
          <w:b w:val="0"/>
          <w:bCs/>
          <w:color w:val="000000" w:themeColor="text1"/>
          <w:sz w:val="24"/>
          <w:szCs w:val="24"/>
        </w:rPr>
        <w:t xml:space="preserve">worker-health, </w:t>
      </w:r>
      <w:r w:rsidR="00E04004" w:rsidRPr="00DA3059">
        <w:rPr>
          <w:rFonts w:ascii="Times New Roman" w:hAnsi="Times New Roman"/>
          <w:b w:val="0"/>
          <w:bCs/>
          <w:color w:val="000000" w:themeColor="text1"/>
          <w:sz w:val="24"/>
          <w:szCs w:val="24"/>
        </w:rPr>
        <w:t xml:space="preserve">public-health, and environmental risks arising from contaminated areas can be challenging. </w:t>
      </w:r>
      <w:r w:rsidR="00BA5B01" w:rsidRPr="00DA3059">
        <w:rPr>
          <w:rFonts w:ascii="Times New Roman" w:hAnsi="Times New Roman"/>
          <w:b w:val="0"/>
          <w:bCs/>
          <w:color w:val="000000" w:themeColor="text1"/>
          <w:sz w:val="24"/>
          <w:szCs w:val="24"/>
        </w:rPr>
        <w:t>Sites contaminated with radioactivity will often contain other physical, chemical</w:t>
      </w:r>
      <w:r w:rsidR="00900E2E" w:rsidRPr="00DA3059">
        <w:rPr>
          <w:rFonts w:ascii="Times New Roman" w:hAnsi="Times New Roman"/>
          <w:b w:val="0"/>
          <w:bCs/>
          <w:color w:val="000000" w:themeColor="text1"/>
          <w:sz w:val="24"/>
          <w:szCs w:val="24"/>
        </w:rPr>
        <w:t>,</w:t>
      </w:r>
      <w:r w:rsidR="00BA5B01" w:rsidRPr="00DA3059">
        <w:rPr>
          <w:rFonts w:ascii="Times New Roman" w:hAnsi="Times New Roman"/>
          <w:b w:val="0"/>
          <w:bCs/>
          <w:color w:val="000000" w:themeColor="text1"/>
          <w:sz w:val="24"/>
          <w:szCs w:val="24"/>
        </w:rPr>
        <w:t xml:space="preserve"> or biological hazards that will need to be </w:t>
      </w:r>
      <w:r w:rsidR="00452385" w:rsidRPr="00DA3059">
        <w:rPr>
          <w:rFonts w:ascii="Times New Roman" w:hAnsi="Times New Roman"/>
          <w:b w:val="0"/>
          <w:bCs/>
          <w:color w:val="000000" w:themeColor="text1"/>
          <w:sz w:val="24"/>
          <w:szCs w:val="24"/>
        </w:rPr>
        <w:t>considered</w:t>
      </w:r>
      <w:r w:rsidR="00BA5B01" w:rsidRPr="00DA3059">
        <w:rPr>
          <w:rFonts w:ascii="Times New Roman" w:hAnsi="Times New Roman"/>
          <w:b w:val="0"/>
          <w:bCs/>
          <w:color w:val="000000" w:themeColor="text1"/>
          <w:sz w:val="24"/>
          <w:szCs w:val="24"/>
        </w:rPr>
        <w:t xml:space="preserve">. </w:t>
      </w:r>
      <w:r w:rsidR="002F5027" w:rsidRPr="00DA3059">
        <w:rPr>
          <w:rFonts w:ascii="Times New Roman" w:hAnsi="Times New Roman"/>
          <w:b w:val="0"/>
          <w:bCs/>
          <w:color w:val="000000" w:themeColor="text1"/>
          <w:sz w:val="24"/>
          <w:szCs w:val="24"/>
        </w:rPr>
        <w:t>T</w:t>
      </w:r>
      <w:r w:rsidR="00E04004" w:rsidRPr="00DA3059">
        <w:rPr>
          <w:rFonts w:ascii="Times New Roman" w:hAnsi="Times New Roman"/>
          <w:b w:val="0"/>
          <w:bCs/>
          <w:color w:val="000000" w:themeColor="text1"/>
          <w:sz w:val="24"/>
          <w:szCs w:val="24"/>
        </w:rPr>
        <w:t xml:space="preserve">he implementation of </w:t>
      </w:r>
      <w:r w:rsidR="0053651E" w:rsidRPr="00DA3059">
        <w:rPr>
          <w:rFonts w:ascii="Times New Roman" w:hAnsi="Times New Roman"/>
          <w:b w:val="0"/>
          <w:bCs/>
          <w:color w:val="000000" w:themeColor="text1"/>
          <w:sz w:val="24"/>
          <w:szCs w:val="24"/>
        </w:rPr>
        <w:t xml:space="preserve">a </w:t>
      </w:r>
      <w:r w:rsidR="002F5027" w:rsidRPr="00DA3059">
        <w:rPr>
          <w:rFonts w:ascii="Times New Roman" w:hAnsi="Times New Roman"/>
          <w:b w:val="0"/>
          <w:bCs/>
          <w:color w:val="000000" w:themeColor="text1"/>
          <w:sz w:val="24"/>
          <w:szCs w:val="24"/>
        </w:rPr>
        <w:t>remediation strategy</w:t>
      </w:r>
      <w:r w:rsidR="00E04004" w:rsidRPr="00DA3059">
        <w:rPr>
          <w:rFonts w:ascii="Times New Roman" w:hAnsi="Times New Roman"/>
          <w:b w:val="0"/>
          <w:bCs/>
          <w:color w:val="000000" w:themeColor="text1"/>
          <w:sz w:val="24"/>
          <w:szCs w:val="24"/>
        </w:rPr>
        <w:t xml:space="preserve"> can itself result in additional risks </w:t>
      </w:r>
      <w:r w:rsidR="009A3A7A" w:rsidRPr="00DA3059">
        <w:rPr>
          <w:rFonts w:ascii="Times New Roman" w:hAnsi="Times New Roman"/>
          <w:b w:val="0"/>
          <w:bCs/>
          <w:color w:val="000000" w:themeColor="text1"/>
          <w:sz w:val="24"/>
          <w:szCs w:val="24"/>
        </w:rPr>
        <w:t xml:space="preserve">for remediation workers or the environment </w:t>
      </w:r>
      <w:r w:rsidR="00E04004" w:rsidRPr="00DA3059">
        <w:rPr>
          <w:rFonts w:ascii="Times New Roman" w:hAnsi="Times New Roman"/>
          <w:b w:val="0"/>
          <w:bCs/>
          <w:color w:val="000000" w:themeColor="text1"/>
          <w:sz w:val="24"/>
          <w:szCs w:val="24"/>
        </w:rPr>
        <w:t>that should be considered and addressed</w:t>
      </w:r>
      <w:r w:rsidR="004742CA" w:rsidRPr="00DA3059">
        <w:rPr>
          <w:rFonts w:ascii="Times New Roman" w:hAnsi="Times New Roman"/>
          <w:b w:val="0"/>
          <w:bCs/>
          <w:color w:val="000000" w:themeColor="text1"/>
          <w:sz w:val="24"/>
          <w:szCs w:val="24"/>
        </w:rPr>
        <w:t>.</w:t>
      </w:r>
      <w:r w:rsidR="00375A98" w:rsidRPr="00DA3059">
        <w:rPr>
          <w:rFonts w:ascii="Times New Roman" w:hAnsi="Times New Roman"/>
          <w:b w:val="0"/>
          <w:bCs/>
          <w:color w:val="000000" w:themeColor="text1"/>
          <w:sz w:val="24"/>
          <w:szCs w:val="24"/>
        </w:rPr>
        <w:t xml:space="preserve"> </w:t>
      </w:r>
      <w:r w:rsidR="00017848" w:rsidRPr="00DA3059">
        <w:rPr>
          <w:rFonts w:ascii="Times New Roman" w:hAnsi="Times New Roman"/>
          <w:b w:val="0"/>
          <w:bCs/>
          <w:color w:val="000000" w:themeColor="text1"/>
          <w:sz w:val="24"/>
          <w:szCs w:val="24"/>
        </w:rPr>
        <w:t xml:space="preserve">Therefore, an integrated and all-hazards approach to protection is required to simultaneously manage and balance worker, public, and environmental risks. </w:t>
      </w:r>
      <w:r w:rsidR="00E04004" w:rsidRPr="00DA3059">
        <w:rPr>
          <w:rFonts w:ascii="Times New Roman" w:hAnsi="Times New Roman"/>
          <w:b w:val="0"/>
          <w:bCs/>
          <w:color w:val="000000" w:themeColor="text1"/>
          <w:sz w:val="24"/>
          <w:szCs w:val="24"/>
        </w:rPr>
        <w:t xml:space="preserve">The Commission recommends that its </w:t>
      </w:r>
      <w:r w:rsidR="0031318C" w:rsidRPr="00DA3059">
        <w:rPr>
          <w:rFonts w:ascii="Times New Roman" w:hAnsi="Times New Roman"/>
          <w:b w:val="0"/>
          <w:bCs/>
          <w:color w:val="000000" w:themeColor="text1"/>
          <w:sz w:val="24"/>
          <w:szCs w:val="24"/>
        </w:rPr>
        <w:t>system</w:t>
      </w:r>
      <w:r w:rsidR="00E04004" w:rsidRPr="00DA3059">
        <w:rPr>
          <w:rFonts w:ascii="Times New Roman" w:hAnsi="Times New Roman"/>
          <w:b w:val="0"/>
          <w:bCs/>
          <w:color w:val="000000" w:themeColor="text1"/>
          <w:sz w:val="24"/>
          <w:szCs w:val="24"/>
        </w:rPr>
        <w:t xml:space="preserve"> for radiological protection should be applied to the management of contaminated areas </w:t>
      </w:r>
      <w:r w:rsidR="00452385" w:rsidRPr="00DA3059">
        <w:rPr>
          <w:rFonts w:ascii="Times New Roman" w:hAnsi="Times New Roman"/>
          <w:b w:val="0"/>
          <w:bCs/>
          <w:color w:val="000000" w:themeColor="text1"/>
          <w:sz w:val="24"/>
          <w:szCs w:val="24"/>
        </w:rPr>
        <w:t xml:space="preserve">as </w:t>
      </w:r>
      <w:r w:rsidR="00E04004" w:rsidRPr="00DA3059">
        <w:rPr>
          <w:rFonts w:ascii="Times New Roman" w:hAnsi="Times New Roman"/>
          <w:b w:val="0"/>
          <w:bCs/>
          <w:color w:val="000000" w:themeColor="text1"/>
          <w:sz w:val="24"/>
          <w:szCs w:val="24"/>
        </w:rPr>
        <w:t>one element of a broad approach to identify</w:t>
      </w:r>
      <w:r w:rsidR="00253ADA" w:rsidRPr="00DA3059">
        <w:rPr>
          <w:rFonts w:ascii="Times New Roman" w:hAnsi="Times New Roman"/>
          <w:b w:val="0"/>
          <w:bCs/>
          <w:color w:val="000000" w:themeColor="text1"/>
          <w:sz w:val="24"/>
          <w:szCs w:val="24"/>
        </w:rPr>
        <w:t>ing</w:t>
      </w:r>
      <w:r w:rsidR="00E04004" w:rsidRPr="00DA3059">
        <w:rPr>
          <w:rFonts w:ascii="Times New Roman" w:hAnsi="Times New Roman"/>
          <w:b w:val="0"/>
          <w:bCs/>
          <w:color w:val="000000" w:themeColor="text1"/>
          <w:sz w:val="24"/>
          <w:szCs w:val="24"/>
        </w:rPr>
        <w:t xml:space="preserve"> how to maximise the overall well-being of directly and indirectly affected stakeholders</w:t>
      </w:r>
      <w:r w:rsidR="00815750" w:rsidRPr="00DA3059">
        <w:rPr>
          <w:rFonts w:ascii="Times New Roman" w:hAnsi="Times New Roman"/>
          <w:b w:val="0"/>
          <w:bCs/>
          <w:color w:val="000000" w:themeColor="text1"/>
          <w:sz w:val="24"/>
          <w:szCs w:val="24"/>
        </w:rPr>
        <w:t xml:space="preserve"> and the environment</w:t>
      </w:r>
      <w:r w:rsidR="00E04004" w:rsidRPr="00DA3059">
        <w:rPr>
          <w:rFonts w:ascii="Times New Roman" w:hAnsi="Times New Roman"/>
          <w:b w:val="0"/>
          <w:bCs/>
          <w:color w:val="000000" w:themeColor="text1"/>
          <w:sz w:val="24"/>
          <w:szCs w:val="24"/>
        </w:rPr>
        <w:t>.</w:t>
      </w:r>
      <w:r w:rsidR="00B30275" w:rsidRPr="00DA3059">
        <w:rPr>
          <w:rFonts w:ascii="Times New Roman" w:hAnsi="Times New Roman"/>
          <w:b w:val="0"/>
          <w:bCs/>
          <w:color w:val="000000" w:themeColor="text1"/>
          <w:sz w:val="24"/>
          <w:szCs w:val="24"/>
        </w:rPr>
        <w:t xml:space="preserve"> </w:t>
      </w:r>
      <w:r w:rsidR="00A70D47" w:rsidRPr="00DA3059">
        <w:rPr>
          <w:rFonts w:ascii="Times New Roman" w:hAnsi="Times New Roman"/>
          <w:b w:val="0"/>
          <w:bCs/>
          <w:color w:val="000000" w:themeColor="text1"/>
          <w:sz w:val="24"/>
          <w:szCs w:val="24"/>
        </w:rPr>
        <w:t>S</w:t>
      </w:r>
      <w:r w:rsidR="006456CF" w:rsidRPr="00DA3059">
        <w:rPr>
          <w:rFonts w:ascii="Times New Roman" w:hAnsi="Times New Roman"/>
          <w:b w:val="0"/>
          <w:bCs/>
          <w:color w:val="000000" w:themeColor="text1"/>
          <w:sz w:val="24"/>
          <w:szCs w:val="24"/>
        </w:rPr>
        <w:t xml:space="preserve">pecific attention should be drawn to the production and management of waste arising </w:t>
      </w:r>
      <w:r w:rsidR="00222AAB" w:rsidRPr="00DA3059">
        <w:rPr>
          <w:rFonts w:ascii="Times New Roman" w:hAnsi="Times New Roman"/>
          <w:b w:val="0"/>
          <w:bCs/>
          <w:color w:val="000000" w:themeColor="text1"/>
          <w:sz w:val="24"/>
          <w:szCs w:val="24"/>
        </w:rPr>
        <w:t>from</w:t>
      </w:r>
      <w:r w:rsidR="006456CF" w:rsidRPr="00DA3059">
        <w:rPr>
          <w:rFonts w:ascii="Times New Roman" w:hAnsi="Times New Roman"/>
          <w:b w:val="0"/>
          <w:bCs/>
          <w:color w:val="000000" w:themeColor="text1"/>
          <w:sz w:val="24"/>
          <w:szCs w:val="24"/>
        </w:rPr>
        <w:t xml:space="preserve"> the implementation of the selected remediation strategy. </w:t>
      </w:r>
      <w:r w:rsidR="009A3A7A" w:rsidRPr="00DA3059">
        <w:rPr>
          <w:rFonts w:ascii="Times New Roman" w:hAnsi="Times New Roman"/>
          <w:b w:val="0"/>
          <w:bCs/>
          <w:color w:val="000000" w:themeColor="text1"/>
          <w:sz w:val="24"/>
          <w:szCs w:val="24"/>
        </w:rPr>
        <w:t>E</w:t>
      </w:r>
      <w:r w:rsidR="00B30275" w:rsidRPr="00DA3059">
        <w:rPr>
          <w:rFonts w:ascii="Times New Roman" w:hAnsi="Times New Roman"/>
          <w:b w:val="0"/>
          <w:bCs/>
          <w:color w:val="000000" w:themeColor="text1"/>
          <w:sz w:val="24"/>
          <w:szCs w:val="24"/>
        </w:rPr>
        <w:t>arly</w:t>
      </w:r>
      <w:r w:rsidR="0031318C" w:rsidRPr="00DA3059">
        <w:rPr>
          <w:rFonts w:ascii="Times New Roman" w:hAnsi="Times New Roman"/>
          <w:b w:val="0"/>
          <w:bCs/>
          <w:color w:val="000000" w:themeColor="text1"/>
          <w:sz w:val="24"/>
          <w:szCs w:val="24"/>
        </w:rPr>
        <w:t>, broad</w:t>
      </w:r>
      <w:r w:rsidR="00805B81" w:rsidRPr="00DA3059">
        <w:rPr>
          <w:rFonts w:ascii="Times New Roman" w:hAnsi="Times New Roman"/>
          <w:b w:val="0"/>
          <w:bCs/>
          <w:color w:val="000000" w:themeColor="text1"/>
          <w:sz w:val="24"/>
          <w:szCs w:val="24"/>
        </w:rPr>
        <w:t>,</w:t>
      </w:r>
      <w:r w:rsidR="00B30275" w:rsidRPr="00DA3059">
        <w:rPr>
          <w:rFonts w:ascii="Times New Roman" w:hAnsi="Times New Roman"/>
          <w:b w:val="0"/>
          <w:bCs/>
          <w:color w:val="000000" w:themeColor="text1"/>
          <w:sz w:val="24"/>
          <w:szCs w:val="24"/>
        </w:rPr>
        <w:t xml:space="preserve"> and </w:t>
      </w:r>
      <w:r w:rsidR="0031318C" w:rsidRPr="00DA3059">
        <w:rPr>
          <w:rFonts w:ascii="Times New Roman" w:hAnsi="Times New Roman"/>
          <w:b w:val="0"/>
          <w:bCs/>
          <w:color w:val="000000" w:themeColor="text1"/>
          <w:sz w:val="24"/>
          <w:szCs w:val="24"/>
        </w:rPr>
        <w:t>ongoing</w:t>
      </w:r>
      <w:r w:rsidR="00B30275" w:rsidRPr="00DA3059">
        <w:rPr>
          <w:rFonts w:ascii="Times New Roman" w:hAnsi="Times New Roman"/>
          <w:b w:val="0"/>
          <w:bCs/>
          <w:color w:val="000000" w:themeColor="text1"/>
          <w:sz w:val="24"/>
          <w:szCs w:val="24"/>
        </w:rPr>
        <w:t xml:space="preserve"> stakeholder</w:t>
      </w:r>
      <w:r w:rsidR="006456CF" w:rsidRPr="00DA3059">
        <w:rPr>
          <w:rFonts w:ascii="Times New Roman" w:hAnsi="Times New Roman"/>
          <w:b w:val="0"/>
          <w:bCs/>
          <w:color w:val="000000" w:themeColor="text1"/>
          <w:sz w:val="24"/>
          <w:szCs w:val="24"/>
        </w:rPr>
        <w:t xml:space="preserve">s’ </w:t>
      </w:r>
      <w:r w:rsidR="00B30275" w:rsidRPr="00DA3059">
        <w:rPr>
          <w:rFonts w:ascii="Times New Roman" w:hAnsi="Times New Roman"/>
          <w:b w:val="0"/>
          <w:bCs/>
          <w:color w:val="000000" w:themeColor="text1"/>
          <w:sz w:val="24"/>
          <w:szCs w:val="24"/>
        </w:rPr>
        <w:t>involvement</w:t>
      </w:r>
      <w:r w:rsidR="006456CF" w:rsidRPr="00DA3059">
        <w:rPr>
          <w:rFonts w:ascii="Times New Roman" w:hAnsi="Times New Roman"/>
          <w:b w:val="0"/>
          <w:bCs/>
          <w:color w:val="000000" w:themeColor="text1"/>
          <w:sz w:val="24"/>
          <w:szCs w:val="24"/>
        </w:rPr>
        <w:t xml:space="preserve"> </w:t>
      </w:r>
      <w:r w:rsidR="00B30275" w:rsidRPr="00DA3059">
        <w:rPr>
          <w:rFonts w:ascii="Times New Roman" w:hAnsi="Times New Roman"/>
          <w:b w:val="0"/>
          <w:bCs/>
          <w:color w:val="000000" w:themeColor="text1"/>
          <w:sz w:val="24"/>
          <w:szCs w:val="24"/>
        </w:rPr>
        <w:t xml:space="preserve">is central </w:t>
      </w:r>
      <w:r w:rsidR="00DA6A4B" w:rsidRPr="00DA3059">
        <w:rPr>
          <w:rFonts w:ascii="Times New Roman" w:hAnsi="Times New Roman"/>
          <w:b w:val="0"/>
          <w:bCs/>
          <w:color w:val="000000" w:themeColor="text1"/>
          <w:sz w:val="24"/>
          <w:szCs w:val="24"/>
        </w:rPr>
        <w:t xml:space="preserve">to </w:t>
      </w:r>
      <w:r w:rsidR="006456CF" w:rsidRPr="00DA3059">
        <w:rPr>
          <w:rFonts w:ascii="Times New Roman" w:hAnsi="Times New Roman"/>
          <w:b w:val="0"/>
          <w:bCs/>
          <w:color w:val="000000" w:themeColor="text1"/>
          <w:sz w:val="24"/>
          <w:szCs w:val="24"/>
        </w:rPr>
        <w:t>design</w:t>
      </w:r>
      <w:r w:rsidR="00235B92" w:rsidRPr="00DA3059">
        <w:rPr>
          <w:rFonts w:ascii="Times New Roman" w:hAnsi="Times New Roman"/>
          <w:b w:val="0"/>
          <w:bCs/>
          <w:color w:val="000000" w:themeColor="text1"/>
          <w:sz w:val="24"/>
          <w:szCs w:val="24"/>
        </w:rPr>
        <w:t>ing</w:t>
      </w:r>
      <w:r w:rsidR="006456CF" w:rsidRPr="00DA3059">
        <w:rPr>
          <w:rFonts w:ascii="Times New Roman" w:hAnsi="Times New Roman"/>
          <w:b w:val="0"/>
          <w:bCs/>
          <w:color w:val="000000" w:themeColor="text1"/>
          <w:sz w:val="24"/>
          <w:szCs w:val="24"/>
        </w:rPr>
        <w:t xml:space="preserve"> and implement</w:t>
      </w:r>
      <w:r w:rsidR="00235B92" w:rsidRPr="00DA3059">
        <w:rPr>
          <w:rFonts w:ascii="Times New Roman" w:hAnsi="Times New Roman"/>
          <w:b w:val="0"/>
          <w:bCs/>
          <w:color w:val="000000" w:themeColor="text1"/>
          <w:sz w:val="24"/>
          <w:szCs w:val="24"/>
        </w:rPr>
        <w:t>ing</w:t>
      </w:r>
      <w:r w:rsidR="006456CF" w:rsidRPr="00DA3059">
        <w:rPr>
          <w:rFonts w:ascii="Times New Roman" w:hAnsi="Times New Roman"/>
          <w:b w:val="0"/>
          <w:bCs/>
          <w:color w:val="000000" w:themeColor="text1"/>
          <w:sz w:val="24"/>
          <w:szCs w:val="24"/>
        </w:rPr>
        <w:t xml:space="preserve"> a </w:t>
      </w:r>
      <w:r w:rsidR="00B30275" w:rsidRPr="00DA3059">
        <w:rPr>
          <w:rFonts w:ascii="Times New Roman" w:hAnsi="Times New Roman"/>
          <w:b w:val="0"/>
          <w:bCs/>
          <w:color w:val="000000" w:themeColor="text1"/>
          <w:sz w:val="24"/>
          <w:szCs w:val="24"/>
        </w:rPr>
        <w:t xml:space="preserve">sustainable </w:t>
      </w:r>
      <w:r w:rsidR="00452385" w:rsidRPr="00DA3059">
        <w:rPr>
          <w:rFonts w:ascii="Times New Roman" w:hAnsi="Times New Roman"/>
          <w:b w:val="0"/>
          <w:bCs/>
          <w:color w:val="000000" w:themeColor="text1"/>
          <w:sz w:val="24"/>
          <w:szCs w:val="24"/>
        </w:rPr>
        <w:t xml:space="preserve">remediation </w:t>
      </w:r>
      <w:r w:rsidR="00DA6A4B" w:rsidRPr="00DA3059">
        <w:rPr>
          <w:rFonts w:ascii="Times New Roman" w:hAnsi="Times New Roman"/>
          <w:b w:val="0"/>
          <w:bCs/>
          <w:color w:val="000000" w:themeColor="text1"/>
          <w:sz w:val="24"/>
          <w:szCs w:val="24"/>
        </w:rPr>
        <w:t>strategy</w:t>
      </w:r>
      <w:r w:rsidR="000C2D15" w:rsidRPr="00DA3059">
        <w:rPr>
          <w:rFonts w:ascii="Times New Roman" w:hAnsi="Times New Roman"/>
          <w:b w:val="0"/>
          <w:bCs/>
          <w:color w:val="000000" w:themeColor="text1"/>
          <w:sz w:val="24"/>
          <w:szCs w:val="24"/>
        </w:rPr>
        <w:t xml:space="preserve">. </w:t>
      </w:r>
      <w:r w:rsidR="00452385" w:rsidRPr="00DA3059">
        <w:rPr>
          <w:rFonts w:ascii="Times New Roman" w:hAnsi="Times New Roman"/>
          <w:b w:val="0"/>
          <w:bCs/>
          <w:color w:val="000000" w:themeColor="text1"/>
          <w:sz w:val="24"/>
          <w:szCs w:val="24"/>
        </w:rPr>
        <w:t>T</w:t>
      </w:r>
      <w:r w:rsidR="000C2D15" w:rsidRPr="00DA3059">
        <w:rPr>
          <w:rFonts w:ascii="Times New Roman" w:hAnsi="Times New Roman"/>
          <w:b w:val="0"/>
          <w:bCs/>
          <w:color w:val="000000" w:themeColor="text1"/>
          <w:sz w:val="24"/>
          <w:szCs w:val="24"/>
        </w:rPr>
        <w:t>he Commission recommends a graded approach</w:t>
      </w:r>
      <w:r w:rsidR="0031318C" w:rsidRPr="00DA3059">
        <w:rPr>
          <w:rFonts w:ascii="Times New Roman" w:hAnsi="Times New Roman"/>
          <w:b w:val="0"/>
          <w:bCs/>
          <w:color w:val="000000" w:themeColor="text1"/>
          <w:sz w:val="24"/>
          <w:szCs w:val="24"/>
        </w:rPr>
        <w:t xml:space="preserve"> be applied</w:t>
      </w:r>
      <w:r w:rsidR="00452385" w:rsidRPr="00DA3059">
        <w:rPr>
          <w:rFonts w:ascii="Times New Roman" w:hAnsi="Times New Roman"/>
          <w:b w:val="0"/>
          <w:bCs/>
          <w:color w:val="000000" w:themeColor="text1"/>
          <w:sz w:val="24"/>
          <w:szCs w:val="24"/>
        </w:rPr>
        <w:t>:</w:t>
      </w:r>
      <w:r w:rsidR="0031318C" w:rsidRPr="00DA3059">
        <w:rPr>
          <w:rFonts w:ascii="Times New Roman" w:hAnsi="Times New Roman"/>
          <w:b w:val="0"/>
          <w:bCs/>
          <w:color w:val="000000" w:themeColor="text1"/>
          <w:sz w:val="24"/>
          <w:szCs w:val="24"/>
        </w:rPr>
        <w:t xml:space="preserve"> the level of effort to address the situation </w:t>
      </w:r>
      <w:r w:rsidR="00452385" w:rsidRPr="00DA3059">
        <w:rPr>
          <w:rFonts w:ascii="Times New Roman" w:hAnsi="Times New Roman"/>
          <w:b w:val="0"/>
          <w:bCs/>
          <w:color w:val="000000" w:themeColor="text1"/>
          <w:sz w:val="24"/>
          <w:szCs w:val="24"/>
        </w:rPr>
        <w:t xml:space="preserve">should be </w:t>
      </w:r>
      <w:r w:rsidR="0031318C" w:rsidRPr="00DA3059">
        <w:rPr>
          <w:rFonts w:ascii="Times New Roman" w:hAnsi="Times New Roman"/>
          <w:b w:val="0"/>
          <w:bCs/>
          <w:color w:val="000000" w:themeColor="text1"/>
          <w:sz w:val="24"/>
          <w:szCs w:val="24"/>
        </w:rPr>
        <w:t>commensurate with</w:t>
      </w:r>
      <w:r w:rsidR="000C2D15" w:rsidRPr="00DA3059">
        <w:rPr>
          <w:rFonts w:ascii="Times New Roman" w:hAnsi="Times New Roman"/>
          <w:b w:val="0"/>
          <w:bCs/>
          <w:color w:val="000000" w:themeColor="text1"/>
          <w:sz w:val="24"/>
          <w:szCs w:val="24"/>
        </w:rPr>
        <w:t xml:space="preserve"> the level of </w:t>
      </w:r>
      <w:r w:rsidR="00576B7A" w:rsidRPr="00DA3059">
        <w:rPr>
          <w:rFonts w:ascii="Times New Roman" w:hAnsi="Times New Roman"/>
          <w:b w:val="0"/>
          <w:bCs/>
          <w:color w:val="000000" w:themeColor="text1"/>
          <w:sz w:val="24"/>
          <w:szCs w:val="24"/>
        </w:rPr>
        <w:t xml:space="preserve">risk </w:t>
      </w:r>
      <w:r w:rsidR="000C2D15" w:rsidRPr="00DA3059">
        <w:rPr>
          <w:rFonts w:ascii="Times New Roman" w:hAnsi="Times New Roman"/>
          <w:b w:val="0"/>
          <w:bCs/>
          <w:color w:val="000000" w:themeColor="text1"/>
          <w:sz w:val="24"/>
          <w:szCs w:val="24"/>
        </w:rPr>
        <w:t xml:space="preserve">that </w:t>
      </w:r>
      <w:r w:rsidR="00E83235" w:rsidRPr="00DA3059">
        <w:rPr>
          <w:rFonts w:ascii="Times New Roman" w:hAnsi="Times New Roman"/>
          <w:b w:val="0"/>
          <w:bCs/>
          <w:color w:val="000000" w:themeColor="text1"/>
          <w:sz w:val="24"/>
          <w:szCs w:val="24"/>
        </w:rPr>
        <w:t xml:space="preserve">remediation </w:t>
      </w:r>
      <w:r w:rsidR="000C2D15" w:rsidRPr="00DA3059">
        <w:rPr>
          <w:rFonts w:ascii="Times New Roman" w:hAnsi="Times New Roman"/>
          <w:b w:val="0"/>
          <w:bCs/>
          <w:color w:val="000000" w:themeColor="text1"/>
          <w:sz w:val="24"/>
          <w:szCs w:val="24"/>
        </w:rPr>
        <w:t>workers</w:t>
      </w:r>
      <w:r w:rsidR="00902311" w:rsidRPr="00DA3059">
        <w:rPr>
          <w:rFonts w:ascii="Times New Roman" w:hAnsi="Times New Roman"/>
          <w:b w:val="0"/>
          <w:bCs/>
          <w:color w:val="000000" w:themeColor="text1"/>
          <w:sz w:val="24"/>
          <w:szCs w:val="24"/>
        </w:rPr>
        <w:t xml:space="preserve">, </w:t>
      </w:r>
      <w:r w:rsidR="000C2D15" w:rsidRPr="00DA3059">
        <w:rPr>
          <w:rFonts w:ascii="Times New Roman" w:hAnsi="Times New Roman"/>
          <w:b w:val="0"/>
          <w:bCs/>
          <w:color w:val="000000" w:themeColor="text1"/>
          <w:sz w:val="24"/>
          <w:szCs w:val="24"/>
        </w:rPr>
        <w:t>members of the public</w:t>
      </w:r>
      <w:r w:rsidR="00902311" w:rsidRPr="00DA3059">
        <w:rPr>
          <w:rFonts w:ascii="Times New Roman" w:hAnsi="Times New Roman"/>
          <w:b w:val="0"/>
          <w:bCs/>
          <w:color w:val="000000" w:themeColor="text1"/>
          <w:sz w:val="24"/>
          <w:szCs w:val="24"/>
        </w:rPr>
        <w:t>, and the environment</w:t>
      </w:r>
      <w:r w:rsidR="00576B7A" w:rsidRPr="00DA3059">
        <w:rPr>
          <w:rFonts w:ascii="Times New Roman" w:hAnsi="Times New Roman"/>
          <w:b w:val="0"/>
          <w:bCs/>
          <w:color w:val="000000" w:themeColor="text1"/>
          <w:sz w:val="24"/>
          <w:szCs w:val="24"/>
        </w:rPr>
        <w:t xml:space="preserve"> are exposed to</w:t>
      </w:r>
      <w:r w:rsidR="000C2D15" w:rsidRPr="00DA3059">
        <w:rPr>
          <w:rFonts w:ascii="Times New Roman" w:hAnsi="Times New Roman"/>
          <w:b w:val="0"/>
          <w:bCs/>
          <w:color w:val="000000" w:themeColor="text1"/>
          <w:sz w:val="24"/>
          <w:szCs w:val="24"/>
        </w:rPr>
        <w:t>.</w:t>
      </w:r>
      <w:r w:rsidR="00244CD6" w:rsidRPr="00DA3059">
        <w:rPr>
          <w:rFonts w:ascii="Times New Roman" w:hAnsi="Times New Roman"/>
          <w:b w:val="0"/>
          <w:bCs/>
          <w:sz w:val="24"/>
          <w:szCs w:val="24"/>
        </w:rPr>
        <w:t xml:space="preserve"> </w:t>
      </w:r>
      <w:r w:rsidR="003C6086" w:rsidRPr="00DA3059">
        <w:rPr>
          <w:rFonts w:ascii="Times New Roman" w:hAnsi="Times New Roman"/>
          <w:b w:val="0"/>
          <w:bCs/>
          <w:color w:val="000000" w:themeColor="text1"/>
          <w:sz w:val="24"/>
          <w:szCs w:val="24"/>
        </w:rPr>
        <w:t>In most cases, remediation workers will likely be considered and managed as occupationally exposed workers.</w:t>
      </w:r>
      <w:bookmarkEnd w:id="1"/>
      <w:bookmarkEnd w:id="2"/>
    </w:p>
    <w:p w14:paraId="493BEEB0" w14:textId="406E9147" w:rsidR="004A6135" w:rsidRPr="00AF2A12" w:rsidRDefault="003970A7" w:rsidP="00DA3059">
      <w:pPr>
        <w:pStyle w:val="Annalstext"/>
        <w:spacing w:before="240" w:after="240"/>
        <w:rPr>
          <w:color w:val="000000" w:themeColor="text1"/>
          <w:szCs w:val="24"/>
        </w:rPr>
      </w:pPr>
      <w:r w:rsidRPr="00AF2A12">
        <w:rPr>
          <w:color w:val="000000" w:themeColor="text1"/>
          <w:szCs w:val="24"/>
        </w:rPr>
        <w:t xml:space="preserve">© 20YY ICRP. Published by SAGE. </w:t>
      </w:r>
    </w:p>
    <w:p w14:paraId="1B40AC68" w14:textId="319DD6E2" w:rsidR="00BA27B9" w:rsidRDefault="003970A7" w:rsidP="00DA3059">
      <w:pPr>
        <w:pStyle w:val="Annalstext"/>
        <w:spacing w:before="240" w:after="240"/>
        <w:rPr>
          <w:color w:val="000000" w:themeColor="text1"/>
          <w:szCs w:val="24"/>
        </w:rPr>
      </w:pPr>
      <w:r w:rsidRPr="00AF2A12">
        <w:rPr>
          <w:i/>
          <w:iCs/>
          <w:color w:val="000000" w:themeColor="text1"/>
          <w:szCs w:val="24"/>
        </w:rPr>
        <w:t xml:space="preserve">Keywords: </w:t>
      </w:r>
      <w:r w:rsidR="00375A98" w:rsidRPr="00AF2A12">
        <w:rPr>
          <w:color w:val="000000" w:themeColor="text1"/>
          <w:szCs w:val="24"/>
        </w:rPr>
        <w:t>Existing exposure situation</w:t>
      </w:r>
      <w:r w:rsidR="003562F5">
        <w:rPr>
          <w:color w:val="000000" w:themeColor="text1"/>
          <w:szCs w:val="24"/>
        </w:rPr>
        <w:t>;</w:t>
      </w:r>
      <w:r w:rsidR="00375A98" w:rsidRPr="00AF2A12">
        <w:rPr>
          <w:color w:val="000000" w:themeColor="text1"/>
          <w:szCs w:val="24"/>
        </w:rPr>
        <w:t xml:space="preserve"> </w:t>
      </w:r>
      <w:r w:rsidR="00D70416" w:rsidRPr="00667C97">
        <w:rPr>
          <w:caps/>
          <w:color w:val="000000" w:themeColor="text1"/>
          <w:szCs w:val="24"/>
        </w:rPr>
        <w:t>g</w:t>
      </w:r>
      <w:r w:rsidR="00D70416" w:rsidRPr="00AF2A12">
        <w:rPr>
          <w:color w:val="000000" w:themeColor="text1"/>
          <w:szCs w:val="24"/>
        </w:rPr>
        <w:t xml:space="preserve">raded </w:t>
      </w:r>
      <w:r w:rsidR="00877F0C">
        <w:rPr>
          <w:color w:val="000000" w:themeColor="text1"/>
          <w:szCs w:val="24"/>
        </w:rPr>
        <w:t>approach</w:t>
      </w:r>
      <w:r w:rsidR="003562F5">
        <w:rPr>
          <w:color w:val="000000" w:themeColor="text1"/>
          <w:szCs w:val="24"/>
        </w:rPr>
        <w:t>;</w:t>
      </w:r>
      <w:r w:rsidR="00877F0C">
        <w:rPr>
          <w:color w:val="000000" w:themeColor="text1"/>
          <w:szCs w:val="24"/>
        </w:rPr>
        <w:t xml:space="preserve"> </w:t>
      </w:r>
      <w:r w:rsidR="00517F41" w:rsidRPr="00667C97">
        <w:rPr>
          <w:caps/>
          <w:color w:val="000000" w:themeColor="text1"/>
          <w:szCs w:val="24"/>
        </w:rPr>
        <w:t>i</w:t>
      </w:r>
      <w:r w:rsidR="00517F41">
        <w:rPr>
          <w:color w:val="000000" w:themeColor="text1"/>
          <w:szCs w:val="24"/>
        </w:rPr>
        <w:t xml:space="preserve">ntegrated </w:t>
      </w:r>
      <w:r w:rsidR="00D70416" w:rsidRPr="00AF2A12">
        <w:rPr>
          <w:color w:val="000000" w:themeColor="text1"/>
          <w:szCs w:val="24"/>
        </w:rPr>
        <w:t>approach</w:t>
      </w:r>
      <w:r w:rsidR="003562F5">
        <w:rPr>
          <w:color w:val="000000" w:themeColor="text1"/>
          <w:szCs w:val="24"/>
        </w:rPr>
        <w:t>;</w:t>
      </w:r>
      <w:r w:rsidR="00D70416" w:rsidRPr="00AF2A12">
        <w:rPr>
          <w:color w:val="000000" w:themeColor="text1"/>
          <w:szCs w:val="24"/>
        </w:rPr>
        <w:t xml:space="preserve"> </w:t>
      </w:r>
      <w:r w:rsidR="00DE0690" w:rsidRPr="00667C97">
        <w:rPr>
          <w:caps/>
          <w:color w:val="000000" w:themeColor="text1"/>
          <w:szCs w:val="24"/>
        </w:rPr>
        <w:t>a</w:t>
      </w:r>
      <w:r w:rsidR="00DE0690">
        <w:rPr>
          <w:color w:val="000000" w:themeColor="text1"/>
          <w:szCs w:val="24"/>
        </w:rPr>
        <w:t>ll hazards</w:t>
      </w:r>
      <w:r w:rsidR="00F84840">
        <w:rPr>
          <w:color w:val="000000" w:themeColor="text1"/>
          <w:szCs w:val="24"/>
        </w:rPr>
        <w:t xml:space="preserve"> </w:t>
      </w:r>
      <w:r w:rsidR="00D70416" w:rsidRPr="00AF2A12">
        <w:rPr>
          <w:color w:val="000000" w:themeColor="text1"/>
          <w:szCs w:val="24"/>
        </w:rPr>
        <w:t>approach</w:t>
      </w:r>
      <w:r w:rsidR="003562F5">
        <w:rPr>
          <w:color w:val="000000" w:themeColor="text1"/>
          <w:szCs w:val="24"/>
        </w:rPr>
        <w:t>;</w:t>
      </w:r>
      <w:r w:rsidR="00D70416" w:rsidRPr="00AF2A12">
        <w:rPr>
          <w:color w:val="000000" w:themeColor="text1"/>
          <w:szCs w:val="24"/>
        </w:rPr>
        <w:t xml:space="preserve"> </w:t>
      </w:r>
      <w:r w:rsidR="00D70416" w:rsidRPr="00667C97">
        <w:rPr>
          <w:caps/>
          <w:color w:val="000000" w:themeColor="text1"/>
          <w:szCs w:val="24"/>
        </w:rPr>
        <w:t>s</w:t>
      </w:r>
      <w:r w:rsidR="00D70416" w:rsidRPr="00AF2A12">
        <w:rPr>
          <w:color w:val="000000" w:themeColor="text1"/>
          <w:szCs w:val="24"/>
        </w:rPr>
        <w:t>takeholders</w:t>
      </w:r>
      <w:r w:rsidR="00702E0E">
        <w:rPr>
          <w:color w:val="000000" w:themeColor="text1"/>
          <w:szCs w:val="24"/>
        </w:rPr>
        <w:t>’</w:t>
      </w:r>
      <w:r w:rsidR="003C6086">
        <w:rPr>
          <w:color w:val="000000" w:themeColor="text1"/>
          <w:szCs w:val="24"/>
        </w:rPr>
        <w:t xml:space="preserve"> involvement</w:t>
      </w:r>
      <w:r w:rsidR="003562F5">
        <w:rPr>
          <w:color w:val="000000" w:themeColor="text1"/>
          <w:szCs w:val="24"/>
        </w:rPr>
        <w:t>;</w:t>
      </w:r>
      <w:r w:rsidR="00D70416" w:rsidRPr="00AF2A12">
        <w:rPr>
          <w:color w:val="000000" w:themeColor="text1"/>
          <w:szCs w:val="24"/>
        </w:rPr>
        <w:t xml:space="preserve"> </w:t>
      </w:r>
      <w:r w:rsidR="00D70416" w:rsidRPr="00667C97">
        <w:rPr>
          <w:caps/>
          <w:color w:val="000000" w:themeColor="text1"/>
          <w:szCs w:val="24"/>
        </w:rPr>
        <w:t>p</w:t>
      </w:r>
      <w:r w:rsidR="00D70416" w:rsidRPr="00AF2A12">
        <w:rPr>
          <w:color w:val="000000" w:themeColor="text1"/>
          <w:szCs w:val="24"/>
        </w:rPr>
        <w:t>revailing circumstances</w:t>
      </w:r>
      <w:r w:rsidR="003562F5">
        <w:rPr>
          <w:color w:val="000000" w:themeColor="text1"/>
          <w:szCs w:val="24"/>
        </w:rPr>
        <w:t>;</w:t>
      </w:r>
      <w:r w:rsidR="00375A98" w:rsidRPr="00AF2A12">
        <w:rPr>
          <w:color w:val="000000" w:themeColor="text1"/>
          <w:szCs w:val="24"/>
        </w:rPr>
        <w:t xml:space="preserve"> </w:t>
      </w:r>
      <w:r w:rsidR="00527149" w:rsidRPr="00667C97">
        <w:rPr>
          <w:caps/>
          <w:color w:val="000000" w:themeColor="text1"/>
          <w:szCs w:val="24"/>
        </w:rPr>
        <w:t>s</w:t>
      </w:r>
      <w:r w:rsidR="00527149">
        <w:rPr>
          <w:color w:val="000000" w:themeColor="text1"/>
          <w:szCs w:val="24"/>
        </w:rPr>
        <w:t>ustainability</w:t>
      </w:r>
      <w:r w:rsidR="003562F5">
        <w:rPr>
          <w:color w:val="000000" w:themeColor="text1"/>
          <w:szCs w:val="24"/>
        </w:rPr>
        <w:t>;</w:t>
      </w:r>
      <w:r w:rsidR="00527149">
        <w:rPr>
          <w:color w:val="000000" w:themeColor="text1"/>
          <w:szCs w:val="24"/>
        </w:rPr>
        <w:t xml:space="preserve"> </w:t>
      </w:r>
      <w:r w:rsidR="00375A98" w:rsidRPr="00667C97">
        <w:rPr>
          <w:caps/>
          <w:color w:val="000000" w:themeColor="text1"/>
          <w:szCs w:val="24"/>
        </w:rPr>
        <w:t>r</w:t>
      </w:r>
      <w:r w:rsidR="00375A98" w:rsidRPr="00AF2A12">
        <w:rPr>
          <w:color w:val="000000" w:themeColor="text1"/>
          <w:szCs w:val="24"/>
        </w:rPr>
        <w:t>emediation</w:t>
      </w:r>
      <w:r w:rsidR="003562F5">
        <w:rPr>
          <w:color w:val="000000" w:themeColor="text1"/>
          <w:szCs w:val="24"/>
        </w:rPr>
        <w:t>;</w:t>
      </w:r>
      <w:r w:rsidR="00A30011">
        <w:rPr>
          <w:color w:val="000000" w:themeColor="text1"/>
          <w:szCs w:val="24"/>
        </w:rPr>
        <w:t xml:space="preserve"> </w:t>
      </w:r>
      <w:r w:rsidR="00A30011" w:rsidRPr="00667C97">
        <w:rPr>
          <w:caps/>
          <w:color w:val="000000" w:themeColor="text1"/>
          <w:szCs w:val="24"/>
        </w:rPr>
        <w:t>c</w:t>
      </w:r>
      <w:r w:rsidR="00A30011">
        <w:rPr>
          <w:color w:val="000000" w:themeColor="text1"/>
          <w:szCs w:val="24"/>
        </w:rPr>
        <w:t>ontaminated areas</w:t>
      </w:r>
    </w:p>
    <w:p w14:paraId="237CDE0B" w14:textId="59E11DB2" w:rsidR="008402DD" w:rsidRPr="00FB33F1" w:rsidRDefault="00D70416" w:rsidP="00FB33F1">
      <w:pPr>
        <w:pStyle w:val="AnnalshdgA"/>
        <w:tabs>
          <w:tab w:val="clear" w:pos="8730"/>
        </w:tabs>
        <w:spacing w:before="480" w:after="480"/>
        <w:ind w:left="0" w:firstLine="0"/>
        <w:rPr>
          <w:rFonts w:eastAsia="游明朝"/>
          <w:bCs/>
          <w:color w:val="000000" w:themeColor="text1"/>
          <w:sz w:val="32"/>
          <w:szCs w:val="32"/>
          <w:lang w:eastAsia="en-US"/>
        </w:rPr>
      </w:pPr>
      <w:bookmarkStart w:id="3" w:name="Preface"/>
      <w:bookmarkStart w:id="4" w:name="_Toc1125657"/>
      <w:bookmarkStart w:id="5" w:name="_Toc117873817"/>
      <w:bookmarkStart w:id="6" w:name="_Toc159397458"/>
      <w:bookmarkStart w:id="7" w:name="_Toc166586796"/>
      <w:bookmarkStart w:id="8" w:name="_Toc444334827"/>
      <w:bookmarkStart w:id="9" w:name="_Toc444336667"/>
      <w:bookmarkEnd w:id="3"/>
      <w:r w:rsidRPr="00FB33F1">
        <w:rPr>
          <w:color w:val="000000" w:themeColor="text1"/>
          <w:sz w:val="32"/>
          <w:szCs w:val="32"/>
        </w:rPr>
        <w:lastRenderedPageBreak/>
        <w:t>M</w:t>
      </w:r>
      <w:r w:rsidR="003970A7" w:rsidRPr="00FB33F1">
        <w:rPr>
          <w:color w:val="000000" w:themeColor="text1"/>
          <w:sz w:val="32"/>
          <w:szCs w:val="32"/>
        </w:rPr>
        <w:t>AIN POINTS</w:t>
      </w:r>
      <w:bookmarkEnd w:id="4"/>
      <w:bookmarkEnd w:id="5"/>
      <w:bookmarkEnd w:id="6"/>
      <w:bookmarkEnd w:id="7"/>
    </w:p>
    <w:p w14:paraId="085F095E" w14:textId="294B66C5" w:rsidR="00F1480E" w:rsidRPr="00FB33F1" w:rsidRDefault="00F1480E" w:rsidP="00FB33F1">
      <w:pPr>
        <w:pStyle w:val="afa"/>
        <w:numPr>
          <w:ilvl w:val="0"/>
          <w:numId w:val="12"/>
        </w:numPr>
        <w:spacing w:before="360" w:after="360" w:line="259" w:lineRule="auto"/>
        <w:ind w:left="658" w:hanging="374"/>
        <w:jc w:val="both"/>
        <w:rPr>
          <w:rFonts w:ascii="Times New Roman" w:eastAsia="游明朝" w:hAnsi="Times New Roman"/>
          <w:b/>
          <w:bCs/>
          <w:color w:val="000000" w:themeColor="text1"/>
          <w:sz w:val="24"/>
          <w:szCs w:val="24"/>
          <w:lang w:val="en-GB"/>
        </w:rPr>
      </w:pPr>
      <w:r w:rsidRPr="00FB33F1">
        <w:rPr>
          <w:rFonts w:ascii="Times New Roman" w:eastAsia="游明朝" w:hAnsi="Times New Roman"/>
          <w:b/>
          <w:bCs/>
          <w:color w:val="000000" w:themeColor="text1"/>
          <w:sz w:val="24"/>
          <w:szCs w:val="24"/>
          <w:lang w:val="en-GB"/>
        </w:rPr>
        <w:t>The Commission recommends managing exposures in areas contaminated by past activities as existing exposure situations. A graded and integrated</w:t>
      </w:r>
      <w:r w:rsidR="006D192D">
        <w:rPr>
          <w:rFonts w:ascii="Times New Roman" w:eastAsia="游明朝" w:hAnsi="Times New Roman"/>
          <w:b/>
          <w:bCs/>
          <w:color w:val="000000" w:themeColor="text1"/>
          <w:sz w:val="24"/>
          <w:szCs w:val="24"/>
          <w:lang w:val="en-GB"/>
        </w:rPr>
        <w:t xml:space="preserve"> all-hazards</w:t>
      </w:r>
      <w:r w:rsidRPr="00FB33F1">
        <w:rPr>
          <w:rFonts w:ascii="Times New Roman" w:eastAsia="游明朝" w:hAnsi="Times New Roman"/>
          <w:b/>
          <w:bCs/>
          <w:color w:val="000000" w:themeColor="text1"/>
          <w:sz w:val="24"/>
          <w:szCs w:val="24"/>
          <w:lang w:val="en-GB"/>
        </w:rPr>
        <w:t xml:space="preserve"> approach should be taken for the protection of the workers, public and the environment, addressing actual </w:t>
      </w:r>
      <w:r w:rsidR="00EA409A" w:rsidRPr="00FB33F1">
        <w:rPr>
          <w:rFonts w:ascii="Times New Roman" w:eastAsia="游明朝" w:hAnsi="Times New Roman"/>
          <w:b/>
          <w:bCs/>
          <w:color w:val="000000" w:themeColor="text1"/>
          <w:sz w:val="24"/>
          <w:szCs w:val="24"/>
          <w:lang w:val="en-GB"/>
        </w:rPr>
        <w:t>ex</w:t>
      </w:r>
      <w:r w:rsidR="004C281D" w:rsidRPr="00FB33F1">
        <w:rPr>
          <w:rFonts w:ascii="Times New Roman" w:eastAsia="游明朝" w:hAnsi="Times New Roman"/>
          <w:b/>
          <w:bCs/>
          <w:color w:val="000000" w:themeColor="text1"/>
          <w:sz w:val="24"/>
          <w:szCs w:val="24"/>
          <w:lang w:val="en-GB"/>
        </w:rPr>
        <w:t>p</w:t>
      </w:r>
      <w:r w:rsidR="00EA409A" w:rsidRPr="00FB33F1">
        <w:rPr>
          <w:rFonts w:ascii="Times New Roman" w:eastAsia="游明朝" w:hAnsi="Times New Roman"/>
          <w:b/>
          <w:bCs/>
          <w:color w:val="000000" w:themeColor="text1"/>
          <w:sz w:val="24"/>
          <w:szCs w:val="24"/>
          <w:lang w:val="en-GB"/>
        </w:rPr>
        <w:t xml:space="preserve">osures </w:t>
      </w:r>
      <w:r w:rsidRPr="00FB33F1">
        <w:rPr>
          <w:rFonts w:ascii="Times New Roman" w:eastAsia="游明朝" w:hAnsi="Times New Roman"/>
          <w:b/>
          <w:bCs/>
          <w:color w:val="000000" w:themeColor="text1"/>
          <w:sz w:val="24"/>
          <w:szCs w:val="24"/>
          <w:lang w:val="en-GB"/>
        </w:rPr>
        <w:t>and exposures</w:t>
      </w:r>
      <w:r w:rsidR="00EA409A" w:rsidRPr="00FB33F1">
        <w:rPr>
          <w:rFonts w:ascii="Times New Roman" w:eastAsia="游明朝" w:hAnsi="Times New Roman"/>
          <w:b/>
          <w:bCs/>
          <w:color w:val="000000" w:themeColor="text1"/>
          <w:sz w:val="24"/>
          <w:szCs w:val="24"/>
          <w:lang w:val="en-GB"/>
        </w:rPr>
        <w:t xml:space="preserve"> </w:t>
      </w:r>
      <w:r w:rsidR="00E03329" w:rsidRPr="00FB33F1">
        <w:rPr>
          <w:rFonts w:ascii="Times New Roman" w:eastAsia="游明朝" w:hAnsi="Times New Roman"/>
          <w:b/>
          <w:bCs/>
          <w:color w:val="000000" w:themeColor="text1"/>
          <w:sz w:val="24"/>
          <w:szCs w:val="24"/>
          <w:lang w:val="en-GB"/>
        </w:rPr>
        <w:t>not certain to occur</w:t>
      </w:r>
      <w:r w:rsidRPr="00FB33F1">
        <w:rPr>
          <w:rFonts w:ascii="Times New Roman" w:eastAsia="游明朝" w:hAnsi="Times New Roman"/>
          <w:b/>
          <w:bCs/>
          <w:color w:val="000000" w:themeColor="text1"/>
          <w:sz w:val="24"/>
          <w:szCs w:val="24"/>
          <w:lang w:val="en-GB"/>
        </w:rPr>
        <w:t xml:space="preserve">, </w:t>
      </w:r>
      <w:r w:rsidR="004D37E0" w:rsidRPr="00FB33F1">
        <w:rPr>
          <w:rFonts w:ascii="Times New Roman" w:eastAsia="游明朝" w:hAnsi="Times New Roman"/>
          <w:b/>
          <w:bCs/>
          <w:color w:val="000000" w:themeColor="text1"/>
          <w:sz w:val="24"/>
          <w:szCs w:val="24"/>
          <w:lang w:val="en-GB"/>
        </w:rPr>
        <w:t xml:space="preserve">both </w:t>
      </w:r>
      <w:r w:rsidRPr="00FB33F1">
        <w:rPr>
          <w:rFonts w:ascii="Times New Roman" w:eastAsia="游明朝" w:hAnsi="Times New Roman"/>
          <w:b/>
          <w:bCs/>
          <w:color w:val="000000" w:themeColor="text1"/>
          <w:sz w:val="24"/>
          <w:szCs w:val="24"/>
          <w:lang w:val="en-GB"/>
        </w:rPr>
        <w:t>now and in the future.</w:t>
      </w:r>
    </w:p>
    <w:p w14:paraId="40F7058F" w14:textId="4127A4B9" w:rsidR="007F2112" w:rsidRPr="00FB33F1" w:rsidRDefault="00F1480E" w:rsidP="00166C75">
      <w:pPr>
        <w:pStyle w:val="afa"/>
        <w:numPr>
          <w:ilvl w:val="0"/>
          <w:numId w:val="12"/>
        </w:numPr>
        <w:spacing w:before="360" w:after="360" w:line="259" w:lineRule="auto"/>
        <w:ind w:left="658" w:hanging="374"/>
        <w:jc w:val="both"/>
        <w:rPr>
          <w:rFonts w:ascii="Times New Roman" w:eastAsia="游明朝" w:hAnsi="Times New Roman"/>
          <w:b/>
          <w:bCs/>
          <w:color w:val="000000" w:themeColor="text1"/>
          <w:sz w:val="24"/>
          <w:szCs w:val="24"/>
          <w:lang w:val="en-GB"/>
        </w:rPr>
      </w:pPr>
      <w:r w:rsidRPr="00FB33F1">
        <w:rPr>
          <w:rFonts w:ascii="Times New Roman" w:eastAsia="游明朝" w:hAnsi="Times New Roman"/>
          <w:b/>
          <w:bCs/>
          <w:color w:val="000000" w:themeColor="text1"/>
          <w:sz w:val="24"/>
          <w:szCs w:val="24"/>
          <w:lang w:val="en-GB"/>
        </w:rPr>
        <w:t>The remediation process underpins the management of contaminated areas. It encompasses 5 phases: recognition, site characterisation, planning of remediation, implementation of the remedial action plan</w:t>
      </w:r>
      <w:r w:rsidR="00696C36">
        <w:rPr>
          <w:rFonts w:ascii="Times New Roman" w:eastAsia="游明朝" w:hAnsi="Times New Roman"/>
          <w:b/>
          <w:bCs/>
          <w:color w:val="000000" w:themeColor="text1"/>
          <w:sz w:val="24"/>
          <w:szCs w:val="24"/>
          <w:lang w:val="en-GB"/>
        </w:rPr>
        <w:t>,</w:t>
      </w:r>
      <w:r w:rsidRPr="00FB33F1">
        <w:rPr>
          <w:rFonts w:ascii="Times New Roman" w:eastAsia="游明朝" w:hAnsi="Times New Roman"/>
          <w:b/>
          <w:bCs/>
          <w:color w:val="000000" w:themeColor="text1"/>
          <w:sz w:val="24"/>
          <w:szCs w:val="24"/>
          <w:lang w:val="en-GB"/>
        </w:rPr>
        <w:t xml:space="preserve"> and post-remediation management.</w:t>
      </w:r>
      <w:r w:rsidR="007F2112" w:rsidRPr="00FB33F1">
        <w:rPr>
          <w:rFonts w:ascii="Times New Roman" w:eastAsia="游明朝" w:hAnsi="Times New Roman"/>
          <w:b/>
          <w:bCs/>
          <w:color w:val="000000" w:themeColor="text1"/>
          <w:sz w:val="24"/>
          <w:szCs w:val="24"/>
          <w:lang w:val="en-GB"/>
        </w:rPr>
        <w:t xml:space="preserve"> </w:t>
      </w:r>
      <w:r w:rsidR="00D3251A" w:rsidRPr="00D3251A">
        <w:rPr>
          <w:rFonts w:ascii="Times New Roman" w:eastAsia="游明朝" w:hAnsi="Times New Roman"/>
          <w:b/>
          <w:bCs/>
          <w:color w:val="000000" w:themeColor="text1"/>
          <w:sz w:val="24"/>
          <w:szCs w:val="24"/>
          <w:lang w:val="en-GB"/>
        </w:rPr>
        <w:t xml:space="preserve">Waste management is included as an important aspect to consider during the remediation process.  </w:t>
      </w:r>
    </w:p>
    <w:p w14:paraId="27B31BBB" w14:textId="77777777" w:rsidR="00F1480E" w:rsidRPr="00FB33F1" w:rsidRDefault="00F1480E" w:rsidP="00166C75">
      <w:pPr>
        <w:pStyle w:val="afa"/>
        <w:numPr>
          <w:ilvl w:val="0"/>
          <w:numId w:val="12"/>
        </w:numPr>
        <w:spacing w:before="360" w:after="360" w:line="259" w:lineRule="auto"/>
        <w:ind w:left="658" w:hanging="374"/>
        <w:jc w:val="both"/>
        <w:rPr>
          <w:rFonts w:ascii="Times New Roman" w:eastAsia="游明朝" w:hAnsi="Times New Roman"/>
          <w:b/>
          <w:bCs/>
          <w:color w:val="000000" w:themeColor="text1"/>
          <w:sz w:val="24"/>
          <w:szCs w:val="24"/>
          <w:lang w:val="en-GB"/>
        </w:rPr>
      </w:pPr>
      <w:r w:rsidRPr="00FB33F1">
        <w:rPr>
          <w:rFonts w:ascii="Times New Roman" w:eastAsia="游明朝" w:hAnsi="Times New Roman"/>
          <w:b/>
          <w:bCs/>
          <w:color w:val="000000" w:themeColor="text1"/>
          <w:sz w:val="24"/>
          <w:szCs w:val="24"/>
          <w:lang w:val="en-GB"/>
        </w:rPr>
        <w:t xml:space="preserve">Early, </w:t>
      </w:r>
      <w:proofErr w:type="gramStart"/>
      <w:r w:rsidRPr="00FB33F1">
        <w:rPr>
          <w:rFonts w:ascii="Times New Roman" w:eastAsia="游明朝" w:hAnsi="Times New Roman"/>
          <w:b/>
          <w:bCs/>
          <w:color w:val="000000" w:themeColor="text1"/>
          <w:sz w:val="24"/>
          <w:szCs w:val="24"/>
          <w:lang w:val="en-GB"/>
        </w:rPr>
        <w:t>broad</w:t>
      </w:r>
      <w:proofErr w:type="gramEnd"/>
      <w:r w:rsidRPr="00FB33F1">
        <w:rPr>
          <w:rFonts w:ascii="Times New Roman" w:eastAsia="游明朝" w:hAnsi="Times New Roman"/>
          <w:b/>
          <w:bCs/>
          <w:color w:val="000000" w:themeColor="text1"/>
          <w:sz w:val="24"/>
          <w:szCs w:val="24"/>
          <w:lang w:val="en-GB"/>
        </w:rPr>
        <w:t xml:space="preserve"> and ongoing stakeholder involvement in the remediation process, including the selection of relevant radiological criteria, is central to a sustainable strategy.</w:t>
      </w:r>
    </w:p>
    <w:p w14:paraId="1D3B9C31" w14:textId="77777777" w:rsidR="00F1480E" w:rsidRDefault="00F1480E" w:rsidP="00FB33F1">
      <w:pPr>
        <w:pStyle w:val="afa"/>
        <w:numPr>
          <w:ilvl w:val="0"/>
          <w:numId w:val="12"/>
        </w:numPr>
        <w:spacing w:before="360" w:after="360" w:line="259" w:lineRule="auto"/>
        <w:ind w:left="658" w:hanging="374"/>
        <w:jc w:val="both"/>
        <w:rPr>
          <w:rFonts w:ascii="Times New Roman" w:eastAsia="游明朝" w:hAnsi="Times New Roman"/>
          <w:b/>
          <w:bCs/>
          <w:color w:val="000000" w:themeColor="text1"/>
          <w:sz w:val="24"/>
          <w:szCs w:val="24"/>
          <w:lang w:val="en-GB"/>
        </w:rPr>
      </w:pPr>
      <w:r w:rsidRPr="00FB33F1">
        <w:rPr>
          <w:rFonts w:ascii="Times New Roman" w:eastAsia="游明朝" w:hAnsi="Times New Roman"/>
          <w:b/>
          <w:bCs/>
          <w:color w:val="000000" w:themeColor="text1"/>
          <w:sz w:val="24"/>
          <w:szCs w:val="24"/>
          <w:lang w:val="en-GB"/>
        </w:rPr>
        <w:t>The reference level for public protection should be selected in the lower range of the 1 to 20 mSv per year dose band, with the objective to progressively reduce exposure close to 1 mSv per year as the site situation improves.</w:t>
      </w:r>
    </w:p>
    <w:p w14:paraId="0EE6B2CA" w14:textId="1F09C97C" w:rsidR="00166C75" w:rsidRPr="00166C75" w:rsidRDefault="00166C75" w:rsidP="00166C75">
      <w:pPr>
        <w:pStyle w:val="afa"/>
        <w:numPr>
          <w:ilvl w:val="0"/>
          <w:numId w:val="12"/>
        </w:numPr>
        <w:spacing w:before="360" w:after="360" w:line="259" w:lineRule="auto"/>
        <w:ind w:left="658" w:hanging="374"/>
        <w:jc w:val="both"/>
        <w:rPr>
          <w:rFonts w:ascii="Times New Roman" w:eastAsia="游明朝" w:hAnsi="Times New Roman"/>
          <w:b/>
          <w:bCs/>
          <w:color w:val="000000" w:themeColor="text1"/>
          <w:sz w:val="24"/>
          <w:szCs w:val="24"/>
          <w:lang w:val="en-GB"/>
        </w:rPr>
      </w:pPr>
      <w:r w:rsidRPr="00166C75">
        <w:rPr>
          <w:rFonts w:ascii="Times New Roman" w:eastAsia="游明朝" w:hAnsi="Times New Roman"/>
          <w:b/>
          <w:bCs/>
          <w:color w:val="000000" w:themeColor="text1"/>
          <w:sz w:val="24"/>
          <w:szCs w:val="24"/>
          <w:lang w:val="en-GB"/>
        </w:rPr>
        <w:t xml:space="preserve">Remediation workers are, in most circumstances, managed as occupationally exposed workers. Nevertheless, the Commission recognises that flexibility in the use of regulatory tools to achieve protection may be required to implement an adequate </w:t>
      </w:r>
      <w:r w:rsidR="009A30CF">
        <w:rPr>
          <w:rFonts w:ascii="Times New Roman" w:eastAsia="游明朝" w:hAnsi="Times New Roman"/>
          <w:b/>
          <w:bCs/>
          <w:color w:val="000000" w:themeColor="text1"/>
          <w:sz w:val="24"/>
          <w:szCs w:val="24"/>
          <w:lang w:val="en-GB"/>
        </w:rPr>
        <w:t xml:space="preserve">protection </w:t>
      </w:r>
      <w:r w:rsidRPr="00166C75">
        <w:rPr>
          <w:rFonts w:ascii="Times New Roman" w:eastAsia="游明朝" w:hAnsi="Times New Roman"/>
          <w:b/>
          <w:bCs/>
          <w:color w:val="000000" w:themeColor="text1"/>
          <w:sz w:val="24"/>
          <w:szCs w:val="24"/>
          <w:lang w:val="en-GB"/>
        </w:rPr>
        <w:t>strategy.</w:t>
      </w:r>
    </w:p>
    <w:p w14:paraId="382B698D" w14:textId="0AAB859E" w:rsidR="00166C75" w:rsidRPr="00166C75" w:rsidRDefault="00166C75" w:rsidP="00166C75">
      <w:pPr>
        <w:rPr>
          <w:rFonts w:eastAsia="游明朝"/>
          <w:b/>
          <w:bCs/>
          <w:color w:val="000000" w:themeColor="text1"/>
        </w:rPr>
      </w:pPr>
      <w:r>
        <w:rPr>
          <w:rFonts w:eastAsia="游明朝"/>
          <w:b/>
          <w:bCs/>
          <w:color w:val="000000" w:themeColor="text1"/>
        </w:rPr>
        <w:br w:type="page"/>
      </w:r>
    </w:p>
    <w:p w14:paraId="56D5B286" w14:textId="77777777" w:rsidR="00C76223" w:rsidRDefault="003970A7" w:rsidP="00BE03BD">
      <w:pPr>
        <w:pStyle w:val="AnnalshdgA"/>
        <w:numPr>
          <w:ilvl w:val="0"/>
          <w:numId w:val="14"/>
        </w:numPr>
        <w:ind w:left="360"/>
        <w:rPr>
          <w:rFonts w:eastAsia="PMingLiU"/>
          <w:caps w:val="0"/>
          <w:snapToGrid w:val="0"/>
          <w:kern w:val="0"/>
          <w:lang w:val="en-CA" w:eastAsia="en-US"/>
        </w:rPr>
      </w:pPr>
      <w:bookmarkStart w:id="10" w:name="_Toc117873818"/>
      <w:bookmarkStart w:id="11" w:name="_Toc159397459"/>
      <w:bookmarkStart w:id="12" w:name="_Toc166586797"/>
      <w:bookmarkEnd w:id="8"/>
      <w:bookmarkEnd w:id="9"/>
      <w:r w:rsidRPr="003A7F17">
        <w:rPr>
          <w:rFonts w:eastAsia="PMingLiU"/>
          <w:caps w:val="0"/>
          <w:snapToGrid w:val="0"/>
          <w:kern w:val="0"/>
          <w:lang w:val="en-CA" w:eastAsia="en-US"/>
        </w:rPr>
        <w:lastRenderedPageBreak/>
        <w:t>INT</w:t>
      </w:r>
      <w:r w:rsidR="00784BF9" w:rsidRPr="003A7F17">
        <w:rPr>
          <w:rFonts w:eastAsia="PMingLiU"/>
          <w:caps w:val="0"/>
          <w:snapToGrid w:val="0"/>
          <w:kern w:val="0"/>
          <w:lang w:val="en-CA" w:eastAsia="en-US"/>
        </w:rPr>
        <w:t>RODUCTION</w:t>
      </w:r>
      <w:bookmarkEnd w:id="10"/>
      <w:bookmarkEnd w:id="11"/>
      <w:bookmarkEnd w:id="12"/>
    </w:p>
    <w:p w14:paraId="5F2EA149" w14:textId="2EE8715A" w:rsidR="003A2A13" w:rsidRPr="00C76223" w:rsidRDefault="00F5672E" w:rsidP="00BE03BD">
      <w:pPr>
        <w:pStyle w:val="2"/>
        <w:numPr>
          <w:ilvl w:val="1"/>
          <w:numId w:val="42"/>
        </w:numPr>
        <w:spacing w:before="480"/>
        <w:jc w:val="left"/>
        <w:rPr>
          <w:rFonts w:eastAsia="PMingLiU"/>
          <w:snapToGrid w:val="0"/>
          <w:lang w:val="en-CA"/>
        </w:rPr>
      </w:pPr>
      <w:bookmarkStart w:id="13" w:name="_Toc117873819"/>
      <w:bookmarkStart w:id="14" w:name="_Toc159397460"/>
      <w:bookmarkStart w:id="15" w:name="_Toc166586798"/>
      <w:r w:rsidRPr="00C76223">
        <w:t>Background</w:t>
      </w:r>
      <w:bookmarkEnd w:id="13"/>
      <w:bookmarkEnd w:id="14"/>
      <w:bookmarkEnd w:id="15"/>
    </w:p>
    <w:p w14:paraId="1AEE48DC" w14:textId="77777777" w:rsidR="00FD49D4" w:rsidRPr="00BE35BE" w:rsidRDefault="00FD49D4" w:rsidP="000771AC">
      <w:pPr>
        <w:pStyle w:val="ICRPnumberedparagraph"/>
        <w:numPr>
          <w:ilvl w:val="0"/>
          <w:numId w:val="13"/>
        </w:numPr>
        <w:tabs>
          <w:tab w:val="num" w:pos="630"/>
        </w:tabs>
        <w:ind w:left="0"/>
      </w:pPr>
      <w:r w:rsidRPr="00BE35BE">
        <w:t xml:space="preserve">Since the discovery of radioactivity in 1896, its useful properties have been utilised in </w:t>
      </w:r>
      <w:r w:rsidR="00F11939" w:rsidRPr="00BE35BE">
        <w:t>m</w:t>
      </w:r>
      <w:r w:rsidRPr="00BE35BE">
        <w:t>any ways for the benefit of society, such as power generation and medicine.</w:t>
      </w:r>
      <w:r w:rsidR="00685042" w:rsidRPr="00BE35BE">
        <w:t xml:space="preserve"> </w:t>
      </w:r>
      <w:r w:rsidRPr="00BE35BE">
        <w:t>The uses of radioactivity have evolved considerably, as have the standards, regulations, and societal expectations governing its use.</w:t>
      </w:r>
    </w:p>
    <w:p w14:paraId="426DE382" w14:textId="02A7A76C" w:rsidR="004A6135" w:rsidRPr="00BE35BE" w:rsidRDefault="00FD49D4" w:rsidP="000771AC">
      <w:pPr>
        <w:pStyle w:val="ICRPnumberedparagraph"/>
        <w:numPr>
          <w:ilvl w:val="0"/>
          <w:numId w:val="13"/>
        </w:numPr>
        <w:tabs>
          <w:tab w:val="num" w:pos="630"/>
        </w:tabs>
        <w:ind w:left="0"/>
      </w:pPr>
      <w:r w:rsidRPr="00BE35BE">
        <w:t xml:space="preserve">One notable example is radium, </w:t>
      </w:r>
      <w:r w:rsidR="007E70C7">
        <w:t xml:space="preserve">which was </w:t>
      </w:r>
      <w:r w:rsidRPr="00BE35BE">
        <w:t xml:space="preserve">discovered by Marie Sklodowska Curie in 1898. All isotopes of radium are radioactive, </w:t>
      </w:r>
      <w:r w:rsidR="0034792E" w:rsidRPr="00BE35BE">
        <w:t>but</w:t>
      </w:r>
      <w:r w:rsidRPr="00BE35BE">
        <w:t xml:space="preserve"> radium-226, which has </w:t>
      </w:r>
      <w:r w:rsidR="00BE4715" w:rsidRPr="00BE35BE">
        <w:t xml:space="preserve">the longest </w:t>
      </w:r>
      <w:r w:rsidRPr="00BE35BE">
        <w:t>half-life of 1600 years and decays into a series of radioactive progeny</w:t>
      </w:r>
      <w:r w:rsidR="0034792E" w:rsidRPr="00BE35BE">
        <w:t xml:space="preserve">, </w:t>
      </w:r>
      <w:r w:rsidR="00D91D20">
        <w:t xml:space="preserve">presents </w:t>
      </w:r>
      <w:r w:rsidR="00AF7D82">
        <w:t xml:space="preserve">a particular public health concern. </w:t>
      </w:r>
      <w:r w:rsidR="00D17A56" w:rsidRPr="00BE35BE">
        <w:t>U</w:t>
      </w:r>
      <w:r w:rsidRPr="00BE35BE">
        <w:t xml:space="preserve">ntil the second half of the 20th century, it was widely used in </w:t>
      </w:r>
      <w:proofErr w:type="spellStart"/>
      <w:r w:rsidRPr="00BE35BE">
        <w:t>radioluminescent</w:t>
      </w:r>
      <w:proofErr w:type="spellEnd"/>
      <w:r w:rsidRPr="00BE35BE">
        <w:t xml:space="preserve"> paint for the watch industry and in similar applications, along with </w:t>
      </w:r>
      <w:r w:rsidR="008738C1">
        <w:t>other applications</w:t>
      </w:r>
      <w:r w:rsidRPr="00BE35BE">
        <w:t xml:space="preserve"> such as </w:t>
      </w:r>
      <w:r w:rsidR="009C6A47" w:rsidRPr="00BE35BE">
        <w:t>parlour</w:t>
      </w:r>
      <w:r w:rsidRPr="00BE35BE">
        <w:t xml:space="preserve"> tricks and medical quackery. The use of radium was not regulated</w:t>
      </w:r>
      <w:r w:rsidR="008C322A">
        <w:t xml:space="preserve"> then</w:t>
      </w:r>
      <w:r w:rsidR="00875300">
        <w:t xml:space="preserve"> </w:t>
      </w:r>
      <w:r w:rsidR="005813E9">
        <w:t>because its</w:t>
      </w:r>
      <w:r w:rsidR="009D70E0">
        <w:t xml:space="preserve"> danger </w:t>
      </w:r>
      <w:r w:rsidR="00875300">
        <w:t>to</w:t>
      </w:r>
      <w:r w:rsidR="009D70E0">
        <w:t xml:space="preserve"> human health </w:t>
      </w:r>
      <w:r w:rsidR="007C50C3">
        <w:t xml:space="preserve">outside of the work environment </w:t>
      </w:r>
      <w:r w:rsidR="00875300">
        <w:t xml:space="preserve">was </w:t>
      </w:r>
      <w:r w:rsidR="009D70E0">
        <w:t>not known or considered</w:t>
      </w:r>
      <w:r w:rsidRPr="00BE35BE">
        <w:t xml:space="preserve">. This led to the </w:t>
      </w:r>
      <w:r w:rsidR="00032652">
        <w:t>presence</w:t>
      </w:r>
      <w:r w:rsidR="00032652" w:rsidRPr="00BE35BE">
        <w:t xml:space="preserve"> </w:t>
      </w:r>
      <w:r w:rsidRPr="00BE35BE">
        <w:t xml:space="preserve">of radioactive materials in buildings, on lands, and in dwellings that may have remained there after the use of radium was prohibited. </w:t>
      </w:r>
      <w:r w:rsidR="002575D1">
        <w:t>The e</w:t>
      </w:r>
      <w:r w:rsidRPr="00BE35BE">
        <w:t xml:space="preserve">volution of standards and regulations, as well as societal expectations, has led to </w:t>
      </w:r>
      <w:proofErr w:type="gramStart"/>
      <w:r w:rsidRPr="00BE35BE">
        <w:t>a number of</w:t>
      </w:r>
      <w:proofErr w:type="gramEnd"/>
      <w:r w:rsidRPr="00BE35BE">
        <w:t xml:space="preserve"> actions dedicated to the management of areas contaminated with radium due to past activities, such as the Radium Action Plan in Switzerland (see </w:t>
      </w:r>
      <w:r w:rsidR="009D3758">
        <w:t>Section A.3</w:t>
      </w:r>
      <w:r w:rsidRPr="00BE35BE">
        <w:t xml:space="preserve">). </w:t>
      </w:r>
      <w:r w:rsidR="00D17A56" w:rsidRPr="00BE35BE">
        <w:t>T</w:t>
      </w:r>
      <w:r w:rsidR="00BD3472" w:rsidRPr="00BE35BE">
        <w:t xml:space="preserve">here are similar </w:t>
      </w:r>
      <w:r w:rsidR="00D97B28" w:rsidRPr="00BE35BE">
        <w:t xml:space="preserve">contaminated </w:t>
      </w:r>
      <w:r w:rsidR="00BD3472" w:rsidRPr="00BE35BE">
        <w:t xml:space="preserve">areas </w:t>
      </w:r>
      <w:r w:rsidR="004D3D4A" w:rsidRPr="00BE35BE">
        <w:t xml:space="preserve">around the world </w:t>
      </w:r>
      <w:r w:rsidR="00BD3472" w:rsidRPr="00BE35BE">
        <w:t xml:space="preserve">where </w:t>
      </w:r>
      <w:r w:rsidR="0081465B">
        <w:t>ei</w:t>
      </w:r>
      <w:r w:rsidR="00BD3472" w:rsidRPr="00BE35BE">
        <w:t>ther</w:t>
      </w:r>
      <w:r w:rsidR="0081465B">
        <w:t xml:space="preserve"> natural or artificial</w:t>
      </w:r>
      <w:r w:rsidR="00BD3472" w:rsidRPr="00BE35BE">
        <w:t xml:space="preserve"> radionuclides are present </w:t>
      </w:r>
      <w:r w:rsidR="007444A1" w:rsidRPr="00BE35BE">
        <w:t>because of</w:t>
      </w:r>
      <w:r w:rsidR="00BD3472" w:rsidRPr="00BE35BE">
        <w:t xml:space="preserve"> human activities</w:t>
      </w:r>
      <w:r w:rsidR="00867F2C" w:rsidRPr="00BE35BE">
        <w:t xml:space="preserve">. </w:t>
      </w:r>
      <w:r w:rsidR="003F6D00" w:rsidRPr="00BE35BE">
        <w:t>Management of these sites</w:t>
      </w:r>
      <w:r w:rsidR="00BD3472" w:rsidRPr="00BE35BE">
        <w:t xml:space="preserve"> may have been carried out according to safety criteria and </w:t>
      </w:r>
      <w:r w:rsidR="00FE64A9" w:rsidRPr="00BE35BE">
        <w:t xml:space="preserve">standards in place </w:t>
      </w:r>
      <w:r w:rsidR="00BD3472" w:rsidRPr="00BE35BE">
        <w:t xml:space="preserve">at the time but subsequently </w:t>
      </w:r>
      <w:r w:rsidR="00E16BB5" w:rsidRPr="00BE35BE">
        <w:t xml:space="preserve">have </w:t>
      </w:r>
      <w:r w:rsidR="00BD3472" w:rsidRPr="00BE35BE">
        <w:t>become a cause for concern</w:t>
      </w:r>
      <w:r w:rsidR="001D47B6">
        <w:t>, or such sites may require appropriate management due to their recent discovery</w:t>
      </w:r>
      <w:r w:rsidR="00BD3472" w:rsidRPr="00BE35BE">
        <w:t>.</w:t>
      </w:r>
      <w:r w:rsidR="001D47B6">
        <w:t xml:space="preserve"> </w:t>
      </w:r>
    </w:p>
    <w:p w14:paraId="0CBDC5ED" w14:textId="32C65CC4" w:rsidR="004A6135" w:rsidRPr="00BE35BE" w:rsidRDefault="00FD49D4" w:rsidP="000771AC">
      <w:pPr>
        <w:pStyle w:val="ICRPnumberedparagraph"/>
        <w:numPr>
          <w:ilvl w:val="0"/>
          <w:numId w:val="13"/>
        </w:numPr>
        <w:tabs>
          <w:tab w:val="num" w:pos="630"/>
        </w:tabs>
        <w:ind w:left="0"/>
      </w:pPr>
      <w:r w:rsidRPr="00BE35BE">
        <w:t xml:space="preserve">These contaminated areas, </w:t>
      </w:r>
      <w:r w:rsidR="00690B40">
        <w:t>sometimes</w:t>
      </w:r>
      <w:r w:rsidR="00690B40" w:rsidRPr="00BE35BE">
        <w:t xml:space="preserve"> </w:t>
      </w:r>
      <w:r w:rsidRPr="00BE35BE">
        <w:t xml:space="preserve">referred to as </w:t>
      </w:r>
      <w:r w:rsidRPr="00690B40">
        <w:t>legacy sites</w:t>
      </w:r>
      <w:r w:rsidRPr="00BE35BE">
        <w:t>, cover a wide variety of cases: large areas impacted by nuclear weapons testing, areas contaminated by uncontrolled radioactive releases</w:t>
      </w:r>
      <w:r w:rsidR="009D70E0">
        <w:t xml:space="preserve"> from </w:t>
      </w:r>
      <w:r w:rsidR="00C5077A">
        <w:t>operating</w:t>
      </w:r>
      <w:r w:rsidR="009D70E0">
        <w:t xml:space="preserve"> facilities</w:t>
      </w:r>
      <w:r w:rsidRPr="00BE35BE">
        <w:t xml:space="preserve">, former industrial sites </w:t>
      </w:r>
      <w:r w:rsidR="00C5077A">
        <w:t>handling</w:t>
      </w:r>
      <w:r w:rsidRPr="00BE35BE">
        <w:t xml:space="preserve"> naturally occurring radioactive </w:t>
      </w:r>
      <w:r w:rsidRPr="00BA27B9">
        <w:t>material (NORM), etc.</w:t>
      </w:r>
      <w:r w:rsidR="00690B40" w:rsidRPr="00BA27B9">
        <w:t xml:space="preserve"> </w:t>
      </w:r>
      <w:r w:rsidR="00690B40" w:rsidRPr="0011734B">
        <w:t>(</w:t>
      </w:r>
      <w:r w:rsidR="004306CF" w:rsidRPr="00BE35BE">
        <w:t>NEA, 2019</w:t>
      </w:r>
      <w:r w:rsidR="004306CF">
        <w:t xml:space="preserve">; </w:t>
      </w:r>
      <w:r w:rsidR="00690B40" w:rsidRPr="00BA27B9">
        <w:t>IAEA</w:t>
      </w:r>
      <w:r w:rsidR="00690B40">
        <w:t>, 2022</w:t>
      </w:r>
      <w:r w:rsidR="00690B40" w:rsidRPr="00BE35BE">
        <w:t>)</w:t>
      </w:r>
      <w:r w:rsidR="00690B40">
        <w:t>.</w:t>
      </w:r>
      <w:r w:rsidRPr="00BE35BE">
        <w:t xml:space="preserve"> Examples may include research laboratories, nuclear research reactors or military complexes that were shut down but not remediated or at least not remediated according to current standards and societal expectations. Former uranium</w:t>
      </w:r>
      <w:r w:rsidR="009F608A" w:rsidRPr="00BE35BE">
        <w:t>, phosphate</w:t>
      </w:r>
      <w:r w:rsidRPr="00BE35BE">
        <w:t xml:space="preserve"> or rare earth </w:t>
      </w:r>
      <w:r w:rsidR="009F608A" w:rsidRPr="00BE35BE">
        <w:t xml:space="preserve">element </w:t>
      </w:r>
      <w:r w:rsidRPr="00BE35BE">
        <w:t>mines</w:t>
      </w:r>
      <w:r w:rsidR="009F608A" w:rsidRPr="00BE35BE">
        <w:t xml:space="preserve"> and related processing facilities</w:t>
      </w:r>
      <w:r w:rsidRPr="00BE35BE">
        <w:t xml:space="preserve"> may also fall </w:t>
      </w:r>
      <w:r w:rsidR="00392D56">
        <w:t>with</w:t>
      </w:r>
      <w:r w:rsidRPr="00BE35BE">
        <w:t xml:space="preserve">in the scope of contaminated areas. </w:t>
      </w:r>
      <w:r w:rsidR="00BD3472" w:rsidRPr="00BE35BE">
        <w:t xml:space="preserve">There is a large variety </w:t>
      </w:r>
      <w:r w:rsidR="007F2C12">
        <w:t xml:space="preserve">of sites </w:t>
      </w:r>
      <w:r w:rsidR="00BD3472" w:rsidRPr="00BE35BE">
        <w:t xml:space="preserve">and </w:t>
      </w:r>
      <w:r w:rsidR="007F2C12">
        <w:t>corresponding</w:t>
      </w:r>
      <w:r w:rsidR="007F2C12" w:rsidRPr="00BE35BE">
        <w:t xml:space="preserve"> </w:t>
      </w:r>
      <w:r w:rsidR="00315BF7">
        <w:t xml:space="preserve">prevailing </w:t>
      </w:r>
      <w:r w:rsidR="00BD3472" w:rsidRPr="00BE35BE">
        <w:t>circumstances to be considered while dealing with areas contaminated by past human activities, as has already been explored extensively in international forums in different contexts (NEA, 2019</w:t>
      </w:r>
      <w:r w:rsidR="004306CF">
        <w:t>, 2021</w:t>
      </w:r>
      <w:r w:rsidR="00BD3472" w:rsidRPr="00BE35BE">
        <w:t xml:space="preserve">; DSA, 2020). In many cases, </w:t>
      </w:r>
      <w:r w:rsidR="00E17AF8">
        <w:t xml:space="preserve">contaminants </w:t>
      </w:r>
      <w:r w:rsidR="00BD3472" w:rsidRPr="00BE35BE">
        <w:t>in addition to radionuclides</w:t>
      </w:r>
      <w:r w:rsidR="00286E41">
        <w:t>,</w:t>
      </w:r>
      <w:r w:rsidR="00FF1962" w:rsidRPr="00BE35BE">
        <w:t xml:space="preserve"> </w:t>
      </w:r>
      <w:r w:rsidR="001D47B6">
        <w:t xml:space="preserve">such </w:t>
      </w:r>
      <w:r w:rsidR="0002684B">
        <w:t>as h</w:t>
      </w:r>
      <w:r w:rsidR="00D76252">
        <w:t>eavy metals o</w:t>
      </w:r>
      <w:r w:rsidR="00DA5D23">
        <w:t>r</w:t>
      </w:r>
      <w:r w:rsidR="0002684B">
        <w:t xml:space="preserve"> organic contaminants</w:t>
      </w:r>
      <w:r w:rsidR="00627D91">
        <w:t>,</w:t>
      </w:r>
      <w:r w:rsidR="009E38D3">
        <w:t xml:space="preserve"> </w:t>
      </w:r>
      <w:r w:rsidR="00BD3472" w:rsidRPr="00BE35BE">
        <w:t>need to be considered</w:t>
      </w:r>
      <w:r w:rsidR="006F3837">
        <w:t xml:space="preserve"> as part of </w:t>
      </w:r>
      <w:r w:rsidR="009F5D79">
        <w:t xml:space="preserve">an </w:t>
      </w:r>
      <w:r w:rsidR="00DE0690">
        <w:t>all</w:t>
      </w:r>
      <w:r w:rsidR="006F3837">
        <w:t>-</w:t>
      </w:r>
      <w:r w:rsidR="00DE0690">
        <w:t>hazards</w:t>
      </w:r>
      <w:r w:rsidR="00BD3472" w:rsidRPr="00BE35BE">
        <w:t xml:space="preserve"> approach for risk management</w:t>
      </w:r>
      <w:r w:rsidR="005D78DF" w:rsidRPr="00BE35BE">
        <w:t xml:space="preserve">, bearing in mind that </w:t>
      </w:r>
      <w:r w:rsidR="00E377B9">
        <w:t xml:space="preserve">the Commission </w:t>
      </w:r>
      <w:r w:rsidR="005D78DF" w:rsidRPr="00BE35BE">
        <w:t xml:space="preserve">is not </w:t>
      </w:r>
      <w:proofErr w:type="gramStart"/>
      <w:r w:rsidR="005D78DF" w:rsidRPr="00BE35BE">
        <w:t xml:space="preserve">in </w:t>
      </w:r>
      <w:r w:rsidR="00A82CC5" w:rsidRPr="00BE35BE">
        <w:t xml:space="preserve">a </w:t>
      </w:r>
      <w:r w:rsidR="005D78DF" w:rsidRPr="00BE35BE">
        <w:t>position</w:t>
      </w:r>
      <w:proofErr w:type="gramEnd"/>
      <w:r w:rsidR="005D78DF" w:rsidRPr="00BE35BE">
        <w:t xml:space="preserve"> to make specific recommendations on their management.</w:t>
      </w:r>
    </w:p>
    <w:p w14:paraId="675EC473" w14:textId="21FE39E6" w:rsidR="00732761" w:rsidRPr="00BE35BE" w:rsidRDefault="00705F5C" w:rsidP="000771AC">
      <w:pPr>
        <w:pStyle w:val="ICRPnumberedparagraph"/>
        <w:numPr>
          <w:ilvl w:val="0"/>
          <w:numId w:val="13"/>
        </w:numPr>
        <w:tabs>
          <w:tab w:val="num" w:pos="630"/>
        </w:tabs>
        <w:ind w:left="0"/>
      </w:pPr>
      <w:r w:rsidRPr="00BE35BE">
        <w:t xml:space="preserve">In 1999, </w:t>
      </w:r>
      <w:r w:rsidR="00784B91" w:rsidRPr="00BE35BE">
        <w:t>t</w:t>
      </w:r>
      <w:r w:rsidR="00FD49D4" w:rsidRPr="00BE35BE">
        <w:t xml:space="preserve">he Commission </w:t>
      </w:r>
      <w:r w:rsidR="00784B91" w:rsidRPr="00BE35BE">
        <w:t xml:space="preserve">released </w:t>
      </w:r>
      <w:r w:rsidR="00FD49D4" w:rsidRPr="00667C97">
        <w:rPr>
          <w:i/>
          <w:iCs/>
        </w:rPr>
        <w:t>Publication 82</w:t>
      </w:r>
      <w:r w:rsidR="00517202">
        <w:t>, which concerns</w:t>
      </w:r>
      <w:r w:rsidR="00FD49D4" w:rsidRPr="00BE35BE">
        <w:t xml:space="preserve"> the protection of the public in case</w:t>
      </w:r>
      <w:r w:rsidR="00076E1E">
        <w:t>s</w:t>
      </w:r>
      <w:r w:rsidR="00FD49D4" w:rsidRPr="00BE35BE">
        <w:t xml:space="preserve"> of prolonged radiation exposure (ICRP, 1999). It addressed the application of the Commission's system of protection, as described in </w:t>
      </w:r>
      <w:r w:rsidR="00FD49D4" w:rsidRPr="00667C97">
        <w:rPr>
          <w:i/>
          <w:iCs/>
        </w:rPr>
        <w:t>Publication 60</w:t>
      </w:r>
      <w:r w:rsidR="00FD49D4" w:rsidRPr="00BE35BE">
        <w:t xml:space="preserve"> (ICRP, 1991),</w:t>
      </w:r>
      <w:r w:rsidR="00685042" w:rsidRPr="00BE35BE">
        <w:t xml:space="preserve"> </w:t>
      </w:r>
      <w:r w:rsidR="00200A6B">
        <w:t>for</w:t>
      </w:r>
      <w:r w:rsidR="00FD49D4" w:rsidRPr="00BE35BE">
        <w:t xml:space="preserve"> the control o</w:t>
      </w:r>
      <w:r w:rsidR="009D5733">
        <w:t xml:space="preserve">f </w:t>
      </w:r>
      <w:r w:rsidR="00FD49D4" w:rsidRPr="00BE35BE">
        <w:t xml:space="preserve">prolonged exposures resulting from practices and </w:t>
      </w:r>
      <w:r w:rsidR="00262D9C">
        <w:t>for</w:t>
      </w:r>
      <w:r w:rsidR="00FD49D4" w:rsidRPr="00BE35BE">
        <w:t xml:space="preserve"> the undertaking of interventions in </w:t>
      </w:r>
      <w:r w:rsidR="005D652C">
        <w:t>such</w:t>
      </w:r>
      <w:r w:rsidR="00FD49D4" w:rsidRPr="00BE35BE">
        <w:t xml:space="preserve"> exposure situations. Optimisation was expected to be applied to ensure that doses were as low as reasonably achievable, </w:t>
      </w:r>
      <w:proofErr w:type="gramStart"/>
      <w:r w:rsidR="00FD49D4" w:rsidRPr="00BE35BE">
        <w:t>taking into account</w:t>
      </w:r>
      <w:proofErr w:type="gramEnd"/>
      <w:r w:rsidR="00FD49D4" w:rsidRPr="00BE35BE">
        <w:t xml:space="preserve"> economic and social factors. The Commission later provided </w:t>
      </w:r>
      <w:r w:rsidR="00BD3472" w:rsidRPr="00BE35BE">
        <w:t xml:space="preserve">updated </w:t>
      </w:r>
      <w:r w:rsidR="00FD49D4" w:rsidRPr="00BE35BE">
        <w:t xml:space="preserve">guidance on </w:t>
      </w:r>
      <w:r w:rsidR="00F63031">
        <w:t xml:space="preserve">the </w:t>
      </w:r>
      <w:r w:rsidR="00FD49D4" w:rsidRPr="00BE35BE">
        <w:t xml:space="preserve">application of the optimisation principle in </w:t>
      </w:r>
      <w:r w:rsidR="00FD49D4" w:rsidRPr="00667C97">
        <w:rPr>
          <w:i/>
          <w:iCs/>
        </w:rPr>
        <w:t>Publication 101</w:t>
      </w:r>
      <w:r w:rsidR="0043559C">
        <w:rPr>
          <w:i/>
          <w:iCs/>
        </w:rPr>
        <w:t>b</w:t>
      </w:r>
      <w:r w:rsidR="00FD49D4" w:rsidRPr="00BE35BE">
        <w:t xml:space="preserve"> (ICRP, 2006</w:t>
      </w:r>
      <w:r w:rsidR="0043559C">
        <w:t>b</w:t>
      </w:r>
      <w:r w:rsidR="00FD49D4" w:rsidRPr="00BE35BE">
        <w:t>).</w:t>
      </w:r>
    </w:p>
    <w:p w14:paraId="39A36830" w14:textId="75ADDC88" w:rsidR="00764577" w:rsidRPr="00AF2A12" w:rsidRDefault="00FD49D4" w:rsidP="005D2AA8">
      <w:pPr>
        <w:pStyle w:val="ICRPnumberedparagraph"/>
        <w:numPr>
          <w:ilvl w:val="0"/>
          <w:numId w:val="13"/>
        </w:numPr>
        <w:tabs>
          <w:tab w:val="num" w:pos="630"/>
        </w:tabs>
        <w:ind w:left="0"/>
      </w:pPr>
      <w:r w:rsidRPr="00AF2A12">
        <w:t xml:space="preserve">In </w:t>
      </w:r>
      <w:r w:rsidRPr="00667C97">
        <w:rPr>
          <w:i/>
          <w:iCs/>
        </w:rPr>
        <w:t>Publication 103</w:t>
      </w:r>
      <w:r w:rsidR="00685042" w:rsidRPr="00AF2A12">
        <w:t xml:space="preserve"> </w:t>
      </w:r>
      <w:r w:rsidRPr="00AF2A12">
        <w:t xml:space="preserve">(ICRP, 2007), the Commission revised the system for radiological protection </w:t>
      </w:r>
      <w:r w:rsidR="002C7F2D">
        <w:t>to supersede</w:t>
      </w:r>
      <w:r w:rsidR="002C7F2D" w:rsidRPr="00AF2A12">
        <w:t xml:space="preserve"> </w:t>
      </w:r>
      <w:r w:rsidRPr="00667C97">
        <w:rPr>
          <w:i/>
          <w:iCs/>
        </w:rPr>
        <w:t>Publication 60</w:t>
      </w:r>
      <w:r w:rsidR="00685042" w:rsidRPr="00AF2A12">
        <w:t xml:space="preserve"> </w:t>
      </w:r>
      <w:r w:rsidRPr="00AF2A12">
        <w:t xml:space="preserve">(ICRP, 1991). The approach is </w:t>
      </w:r>
      <w:r w:rsidR="00E4680D">
        <w:t xml:space="preserve">now </w:t>
      </w:r>
      <w:r w:rsidRPr="00AF2A12">
        <w:t xml:space="preserve">based on the </w:t>
      </w:r>
      <w:r w:rsidRPr="00AF2A12">
        <w:lastRenderedPageBreak/>
        <w:t xml:space="preserve">characteristics of the radiation exposure situation </w:t>
      </w:r>
      <w:r w:rsidR="00C51828">
        <w:t>instead of</w:t>
      </w:r>
      <w:r w:rsidRPr="00AF2A12">
        <w:t xml:space="preserve"> the process-based approach </w:t>
      </w:r>
      <w:r w:rsidR="00C749D7" w:rsidRPr="00AF2A12">
        <w:t xml:space="preserve">(i.e. practices and interventions) </w:t>
      </w:r>
      <w:r w:rsidRPr="00AF2A12">
        <w:t xml:space="preserve">adopted previously. </w:t>
      </w:r>
      <w:r w:rsidR="00C749D7" w:rsidRPr="00AF2A12">
        <w:t>The system of protection considers three</w:t>
      </w:r>
      <w:r w:rsidR="00D97DD8" w:rsidRPr="00AF2A12">
        <w:t xml:space="preserve"> </w:t>
      </w:r>
      <w:r w:rsidR="00C749D7" w:rsidRPr="00AF2A12">
        <w:t>types of exposure situations</w:t>
      </w:r>
      <w:r w:rsidR="00D97DD8" w:rsidRPr="00AF2A12">
        <w:t xml:space="preserve"> (</w:t>
      </w:r>
      <w:r w:rsidR="00C749D7" w:rsidRPr="00AF2A12">
        <w:t xml:space="preserve">planned, </w:t>
      </w:r>
      <w:r w:rsidR="00687E09">
        <w:t>emergency</w:t>
      </w:r>
      <w:r w:rsidR="004306CF">
        <w:t>,</w:t>
      </w:r>
      <w:r w:rsidR="00687E09">
        <w:t xml:space="preserve"> and </w:t>
      </w:r>
      <w:r w:rsidR="00C749D7" w:rsidRPr="00AF2A12">
        <w:t>existing</w:t>
      </w:r>
      <w:r w:rsidR="00D97DD8" w:rsidRPr="00AF2A12">
        <w:t xml:space="preserve">) and three categories of </w:t>
      </w:r>
      <w:r w:rsidR="00C749D7" w:rsidRPr="00AF2A12">
        <w:t xml:space="preserve">exposure </w:t>
      </w:r>
      <w:r w:rsidR="00D97DD8" w:rsidRPr="00AF2A12">
        <w:t>(</w:t>
      </w:r>
      <w:r w:rsidR="00892AC1">
        <w:t>occupational</w:t>
      </w:r>
      <w:r w:rsidR="00D97DD8" w:rsidRPr="00AF2A12">
        <w:t xml:space="preserve">, </w:t>
      </w:r>
      <w:r w:rsidR="00C749D7" w:rsidRPr="00AF2A12">
        <w:t xml:space="preserve">public, and </w:t>
      </w:r>
      <w:r w:rsidR="00892AC1">
        <w:t>medical</w:t>
      </w:r>
      <w:r w:rsidR="00D97DD8" w:rsidRPr="00AF2A12">
        <w:t xml:space="preserve">). </w:t>
      </w:r>
      <w:r w:rsidR="003C4DA0">
        <w:t xml:space="preserve">It also effectively extended the system of protection to address </w:t>
      </w:r>
      <w:r w:rsidR="004F22C6">
        <w:t xml:space="preserve">the </w:t>
      </w:r>
      <w:r w:rsidR="003C4DA0">
        <w:t>protection of the environment, including flora and fauna, more explicitly. These recommendations set the objectives of environmental protection and explain the basis for the proposed Reference Animals and Plants (RAPs).</w:t>
      </w:r>
      <w:r w:rsidR="002A2083">
        <w:t xml:space="preserve"> </w:t>
      </w:r>
      <w:r w:rsidR="00DC05D8" w:rsidRPr="00AF2A12">
        <w:t xml:space="preserve">In </w:t>
      </w:r>
      <w:r w:rsidRPr="00AF2A12">
        <w:t>introduc</w:t>
      </w:r>
      <w:r w:rsidR="00DC05D8" w:rsidRPr="00AF2A12">
        <w:t>ing</w:t>
      </w:r>
      <w:r w:rsidRPr="00AF2A12">
        <w:t xml:space="preserve"> the existing exposure situation, </w:t>
      </w:r>
      <w:r w:rsidR="00FA1899">
        <w:t xml:space="preserve">which includes </w:t>
      </w:r>
      <w:r w:rsidR="00517857">
        <w:t xml:space="preserve">exposures from </w:t>
      </w:r>
      <w:r w:rsidR="00FA1899">
        <w:t xml:space="preserve">contaminated sites </w:t>
      </w:r>
      <w:r w:rsidR="00966EFB">
        <w:t xml:space="preserve">affected by past activities </w:t>
      </w:r>
      <w:r w:rsidR="00FA1899">
        <w:t>addressed in this</w:t>
      </w:r>
      <w:r w:rsidR="00F00908">
        <w:t xml:space="preserve"> publication</w:t>
      </w:r>
      <w:r w:rsidR="00FA1899">
        <w:t xml:space="preserve">, </w:t>
      </w:r>
      <w:r w:rsidR="00DC05D8" w:rsidRPr="00667C97">
        <w:rPr>
          <w:i/>
          <w:iCs/>
        </w:rPr>
        <w:t>Publication 103</w:t>
      </w:r>
      <w:r w:rsidR="00DC05D8" w:rsidRPr="00AF2A12">
        <w:t xml:space="preserve"> </w:t>
      </w:r>
      <w:r w:rsidRPr="00AF2A12">
        <w:t>not</w:t>
      </w:r>
      <w:r w:rsidR="00DC05D8" w:rsidRPr="00AF2A12">
        <w:t>es</w:t>
      </w:r>
      <w:r w:rsidRPr="00AF2A12">
        <w:t xml:space="preserve"> that</w:t>
      </w:r>
      <w:r w:rsidR="001C378B">
        <w:t xml:space="preserve"> </w:t>
      </w:r>
      <w:r w:rsidRPr="00667C97">
        <w:rPr>
          <w:i/>
          <w:iCs/>
        </w:rPr>
        <w:t>it may also be necessary to take radiological protection decisions concerning existing man-made exposure situations such as residues in the environment resulting from radiological emissions from operations that were not conducted within the Commission’s system of protection</w:t>
      </w:r>
      <w:r w:rsidRPr="00AF2A12">
        <w:t>.</w:t>
      </w:r>
    </w:p>
    <w:p w14:paraId="4CE0CF4E" w14:textId="29F23E7A" w:rsidR="004A6135" w:rsidRPr="00AF2A12" w:rsidRDefault="00FD49D4" w:rsidP="000771AC">
      <w:pPr>
        <w:pStyle w:val="ICRPnumberedparagraph"/>
        <w:numPr>
          <w:ilvl w:val="0"/>
          <w:numId w:val="13"/>
        </w:numPr>
        <w:tabs>
          <w:tab w:val="num" w:pos="630"/>
        </w:tabs>
        <w:ind w:left="0"/>
      </w:pPr>
      <w:r w:rsidRPr="00AF2A12">
        <w:t xml:space="preserve">Since 2007, the Commission has </w:t>
      </w:r>
      <w:r w:rsidR="00D04569">
        <w:t>produc</w:t>
      </w:r>
      <w:r w:rsidR="001C378B">
        <w:t>ed</w:t>
      </w:r>
      <w:r w:rsidR="00D04569">
        <w:t xml:space="preserve"> </w:t>
      </w:r>
      <w:r w:rsidRPr="00AF2A12">
        <w:t xml:space="preserve">a set of publications dedicated to applying the system of radiological protection to existing exposure situations. </w:t>
      </w:r>
      <w:r w:rsidRPr="00667C97">
        <w:rPr>
          <w:i/>
          <w:iCs/>
        </w:rPr>
        <w:t>Publication 126</w:t>
      </w:r>
      <w:r w:rsidR="00685042" w:rsidRPr="00AF2A12">
        <w:t xml:space="preserve"> </w:t>
      </w:r>
      <w:r w:rsidRPr="00AF2A12">
        <w:t>(ICRP, 2014b) update</w:t>
      </w:r>
      <w:r w:rsidR="00072334">
        <w:t>s</w:t>
      </w:r>
      <w:r w:rsidRPr="00AF2A12">
        <w:t xml:space="preserve"> the recommendations for protection against exposure to radon. </w:t>
      </w:r>
      <w:r w:rsidRPr="00667C97">
        <w:rPr>
          <w:i/>
          <w:iCs/>
        </w:rPr>
        <w:t>Publication 132</w:t>
      </w:r>
      <w:r w:rsidR="00685042" w:rsidRPr="00AF2A12">
        <w:t xml:space="preserve"> </w:t>
      </w:r>
      <w:r w:rsidRPr="00AF2A12">
        <w:t xml:space="preserve">(ICRP, 2016) is devoted to radiological protection from cosmic radiation in aviation. </w:t>
      </w:r>
      <w:r w:rsidRPr="00667C97">
        <w:rPr>
          <w:i/>
          <w:iCs/>
        </w:rPr>
        <w:t>Publication 142</w:t>
      </w:r>
      <w:r w:rsidRPr="00AF2A12">
        <w:t xml:space="preserve"> (ICRP, 2019) addresse</w:t>
      </w:r>
      <w:r w:rsidR="00072334">
        <w:t>s</w:t>
      </w:r>
      <w:r w:rsidRPr="00AF2A12">
        <w:t xml:space="preserve"> exposures from naturally occurring radioactive material in industrial processes. </w:t>
      </w:r>
      <w:r w:rsidR="00DC05D8" w:rsidRPr="00667C97">
        <w:rPr>
          <w:i/>
          <w:iCs/>
        </w:rPr>
        <w:t>Publication 146</w:t>
      </w:r>
      <w:r w:rsidRPr="00AF2A12">
        <w:t xml:space="preserve"> (ICRP, 2020)</w:t>
      </w:r>
      <w:r w:rsidR="00FE269D" w:rsidRPr="00AF2A12">
        <w:t>, which account</w:t>
      </w:r>
      <w:r w:rsidR="00C8113F">
        <w:t>s</w:t>
      </w:r>
      <w:r w:rsidR="00FE269D" w:rsidRPr="00AF2A12">
        <w:t xml:space="preserve"> for the lessons derived from large </w:t>
      </w:r>
      <w:r w:rsidR="002D67F8">
        <w:t>nuclear</w:t>
      </w:r>
      <w:r w:rsidR="00FE269D" w:rsidRPr="00AF2A12">
        <w:t xml:space="preserve"> accidents at Chernobyl (</w:t>
      </w:r>
      <w:r w:rsidR="00C61623">
        <w:t xml:space="preserve">in </w:t>
      </w:r>
      <w:r w:rsidR="00FE269D" w:rsidRPr="00AF2A12">
        <w:t>1986) and Fukushima</w:t>
      </w:r>
      <w:r w:rsidR="00C61623">
        <w:t xml:space="preserve"> </w:t>
      </w:r>
      <w:r w:rsidR="00FE269D" w:rsidRPr="00AF2A12">
        <w:t>Daiichi (</w:t>
      </w:r>
      <w:r w:rsidR="00C61623">
        <w:t xml:space="preserve">in </w:t>
      </w:r>
      <w:r w:rsidR="00FE269D" w:rsidRPr="00AF2A12">
        <w:t>2011) nuclear power plants</w:t>
      </w:r>
      <w:r w:rsidR="00CE0467">
        <w:t xml:space="preserve">, addresses </w:t>
      </w:r>
      <w:r w:rsidR="00CE0467" w:rsidRPr="00AF2A12">
        <w:t>emergency exposure situations and living in long-term contaminated areas following a radiological emergency</w:t>
      </w:r>
      <w:r w:rsidR="00FE269D" w:rsidRPr="00AF2A12">
        <w:t>.</w:t>
      </w:r>
    </w:p>
    <w:p w14:paraId="677DC351" w14:textId="4D53858B" w:rsidR="00732761" w:rsidRPr="00BE35BE" w:rsidRDefault="00E377B9" w:rsidP="003D3E71">
      <w:pPr>
        <w:pStyle w:val="ICRPnumberedparagraph"/>
        <w:numPr>
          <w:ilvl w:val="0"/>
          <w:numId w:val="13"/>
        </w:numPr>
        <w:tabs>
          <w:tab w:val="num" w:pos="630"/>
        </w:tabs>
        <w:ind w:left="0"/>
      </w:pPr>
      <w:r w:rsidRPr="00E377B9">
        <w:t>The Commission</w:t>
      </w:r>
      <w:r w:rsidR="009F608A" w:rsidRPr="00BE35BE">
        <w:t xml:space="preserve"> clarified in </w:t>
      </w:r>
      <w:r w:rsidR="009F608A" w:rsidRPr="00667C97">
        <w:rPr>
          <w:i/>
          <w:iCs/>
        </w:rPr>
        <w:t>Publication 138</w:t>
      </w:r>
      <w:r w:rsidR="009F608A" w:rsidRPr="00BE35BE">
        <w:t xml:space="preserve"> (ICRP, 2018) the ethical bases and values </w:t>
      </w:r>
      <w:r w:rsidR="009A7B33">
        <w:t xml:space="preserve">that </w:t>
      </w:r>
      <w:r w:rsidR="009F608A" w:rsidRPr="00BE35BE">
        <w:t xml:space="preserve">underpin the system of radiological protection. These rely on four core ethical values: beneficence/non-maleficence, prudence, justice, and dignity. </w:t>
      </w:r>
      <w:r w:rsidR="00FE31CC" w:rsidRPr="00BE35BE">
        <w:t xml:space="preserve">In this </w:t>
      </w:r>
      <w:r w:rsidR="00F00908">
        <w:t>publication</w:t>
      </w:r>
      <w:r w:rsidR="00453733" w:rsidRPr="00BE35BE">
        <w:t>, t</w:t>
      </w:r>
      <w:r w:rsidR="009F608A" w:rsidRPr="00BE35BE">
        <w:t xml:space="preserve">hese </w:t>
      </w:r>
      <w:r w:rsidR="00453733" w:rsidRPr="00BE35BE">
        <w:t xml:space="preserve">ethical values </w:t>
      </w:r>
      <w:r w:rsidR="00A57193" w:rsidRPr="00BE35BE">
        <w:t xml:space="preserve">are </w:t>
      </w:r>
      <w:r w:rsidR="00CE0467">
        <w:t>considered</w:t>
      </w:r>
      <w:r w:rsidR="00CE0467" w:rsidRPr="00BE35BE">
        <w:t xml:space="preserve"> </w:t>
      </w:r>
      <w:r w:rsidR="00A57193" w:rsidRPr="00BE35BE">
        <w:t xml:space="preserve">an integral part of the </w:t>
      </w:r>
      <w:r w:rsidR="00CD698F" w:rsidRPr="00BE35BE">
        <w:t xml:space="preserve">recommended </w:t>
      </w:r>
      <w:r w:rsidR="009F608A" w:rsidRPr="00BE35BE">
        <w:t>protection strateg</w:t>
      </w:r>
      <w:r w:rsidR="00CD698F" w:rsidRPr="00BE35BE">
        <w:t xml:space="preserve">ies </w:t>
      </w:r>
      <w:r w:rsidR="00F57501" w:rsidRPr="00BE35BE">
        <w:t xml:space="preserve">for managing </w:t>
      </w:r>
      <w:r w:rsidR="009F608A" w:rsidRPr="00BE35BE">
        <w:t>exposure</w:t>
      </w:r>
      <w:r w:rsidR="00F57501" w:rsidRPr="00BE35BE">
        <w:t>s</w:t>
      </w:r>
      <w:r w:rsidR="009F608A" w:rsidRPr="00BE35BE">
        <w:t xml:space="preserve"> associated with contaminated areas.</w:t>
      </w:r>
    </w:p>
    <w:p w14:paraId="5EBAEE6A" w14:textId="65A46AB1" w:rsidR="004A6135" w:rsidRPr="00BE35BE" w:rsidRDefault="00FD49D4" w:rsidP="000771AC">
      <w:pPr>
        <w:pStyle w:val="ICRPnumberedparagraph"/>
        <w:numPr>
          <w:ilvl w:val="0"/>
          <w:numId w:val="13"/>
        </w:numPr>
        <w:tabs>
          <w:tab w:val="num" w:pos="630"/>
        </w:tabs>
        <w:ind w:left="0"/>
      </w:pPr>
      <w:r w:rsidRPr="00BE35BE">
        <w:t xml:space="preserve">Also, following </w:t>
      </w:r>
      <w:r w:rsidRPr="00667C97">
        <w:rPr>
          <w:i/>
          <w:iCs/>
        </w:rPr>
        <w:t>Publication 103</w:t>
      </w:r>
      <w:r w:rsidRPr="00BE35BE">
        <w:t xml:space="preserve"> (ICRP, 2007), several publications are intended to cover </w:t>
      </w:r>
      <w:r w:rsidR="00C51828">
        <w:t xml:space="preserve">radiological </w:t>
      </w:r>
      <w:r w:rsidRPr="00BE35BE">
        <w:t xml:space="preserve">protection of the environment more explicitly, particularly </w:t>
      </w:r>
      <w:r w:rsidRPr="00667C97">
        <w:rPr>
          <w:i/>
          <w:iCs/>
        </w:rPr>
        <w:t>Publication 108</w:t>
      </w:r>
      <w:r w:rsidR="00685042" w:rsidRPr="00BE35BE">
        <w:t xml:space="preserve"> </w:t>
      </w:r>
      <w:r w:rsidRPr="00BE35BE">
        <w:t xml:space="preserve">(ICRP, 2008), which introduces the RAPs, and </w:t>
      </w:r>
      <w:r w:rsidRPr="00667C97">
        <w:rPr>
          <w:i/>
          <w:iCs/>
        </w:rPr>
        <w:t>Publication 124</w:t>
      </w:r>
      <w:r w:rsidR="00685042" w:rsidRPr="00BE35BE">
        <w:t xml:space="preserve"> </w:t>
      </w:r>
      <w:r w:rsidRPr="00BE35BE">
        <w:t xml:space="preserve">(ICRP, 2014a), which deals with the application of </w:t>
      </w:r>
      <w:r w:rsidR="00C51828">
        <w:t xml:space="preserve">radiological </w:t>
      </w:r>
      <w:r w:rsidRPr="00BE35BE">
        <w:t>protection in the environment under different exposure situations.</w:t>
      </w:r>
      <w:r w:rsidR="008840FE" w:rsidRPr="00BE35BE">
        <w:t xml:space="preserve"> These </w:t>
      </w:r>
      <w:r w:rsidR="00030F13" w:rsidRPr="00BE35BE">
        <w:t xml:space="preserve">ICRP </w:t>
      </w:r>
      <w:r w:rsidR="00E8297E" w:rsidRPr="00BE35BE">
        <w:t xml:space="preserve">publications are further referenced </w:t>
      </w:r>
      <w:r w:rsidR="00C95F63" w:rsidRPr="00BE35BE">
        <w:t xml:space="preserve">in this </w:t>
      </w:r>
      <w:r w:rsidR="00F00908">
        <w:t>publication</w:t>
      </w:r>
      <w:r w:rsidR="00F00908" w:rsidRPr="00BE35BE">
        <w:t xml:space="preserve"> </w:t>
      </w:r>
      <w:r w:rsidR="00056525" w:rsidRPr="00BE35BE">
        <w:t xml:space="preserve">in the context of </w:t>
      </w:r>
      <w:r w:rsidR="00261890">
        <w:t xml:space="preserve">non-human </w:t>
      </w:r>
      <w:r w:rsidR="00573B2C" w:rsidRPr="00BE35BE">
        <w:t>biota protection in contaminated areas.</w:t>
      </w:r>
      <w:r w:rsidR="008840FE" w:rsidRPr="00BE35BE">
        <w:t xml:space="preserve"> </w:t>
      </w:r>
    </w:p>
    <w:p w14:paraId="2DF5C61B" w14:textId="3F89D380" w:rsidR="007674DC" w:rsidRPr="009F6388" w:rsidRDefault="00C61523" w:rsidP="00BE03BD">
      <w:pPr>
        <w:pStyle w:val="AnnalshdgB"/>
        <w:numPr>
          <w:ilvl w:val="1"/>
          <w:numId w:val="42"/>
        </w:numPr>
        <w:jc w:val="left"/>
        <w:rPr>
          <w:i w:val="0"/>
          <w:iCs w:val="0"/>
        </w:rPr>
      </w:pPr>
      <w:bookmarkStart w:id="16" w:name="_Toc117873820"/>
      <w:bookmarkStart w:id="17" w:name="_Toc159397461"/>
      <w:bookmarkStart w:id="18" w:name="_Toc166586799"/>
      <w:r w:rsidRPr="009F6388">
        <w:rPr>
          <w:i w:val="0"/>
          <w:iCs w:val="0"/>
        </w:rPr>
        <w:t>Scope</w:t>
      </w:r>
      <w:bookmarkEnd w:id="16"/>
      <w:bookmarkEnd w:id="17"/>
      <w:bookmarkEnd w:id="18"/>
    </w:p>
    <w:p w14:paraId="151F2672" w14:textId="3D0AD8F4" w:rsidR="000D3348" w:rsidRDefault="00F05703" w:rsidP="000771AC">
      <w:pPr>
        <w:pStyle w:val="ICRPnumberedparagraph"/>
        <w:numPr>
          <w:ilvl w:val="0"/>
          <w:numId w:val="13"/>
        </w:numPr>
        <w:tabs>
          <w:tab w:val="num" w:pos="630"/>
        </w:tabs>
        <w:ind w:left="0"/>
      </w:pPr>
      <w:r w:rsidRPr="009F6388">
        <w:t xml:space="preserve">The purpose of the present </w:t>
      </w:r>
      <w:r w:rsidR="003A4B37">
        <w:t>publication</w:t>
      </w:r>
      <w:r w:rsidRPr="009F6388">
        <w:t xml:space="preserve"> is to explain the application of the</w:t>
      </w:r>
      <w:r w:rsidRPr="00AF2A12">
        <w:t xml:space="preserve"> recommendations of the Commission on controlling </w:t>
      </w:r>
      <w:r w:rsidR="0045373D">
        <w:t xml:space="preserve">radiological </w:t>
      </w:r>
      <w:r w:rsidRPr="00AF2A12">
        <w:t>exposure associated with areas</w:t>
      </w:r>
      <w:r w:rsidR="00CC72DC" w:rsidRPr="00AF2A12">
        <w:t xml:space="preserve"> </w:t>
      </w:r>
      <w:r w:rsidR="00A41403" w:rsidRPr="00AF2A12">
        <w:t xml:space="preserve">contaminated </w:t>
      </w:r>
      <w:r w:rsidR="00195E21">
        <w:t>by</w:t>
      </w:r>
      <w:r w:rsidR="00CC72DC" w:rsidRPr="00AF2A12">
        <w:t xml:space="preserve"> past activities</w:t>
      </w:r>
      <w:r w:rsidR="0025023F">
        <w:t xml:space="preserve">, </w:t>
      </w:r>
      <w:r w:rsidR="00BA341D">
        <w:t xml:space="preserve">which are </w:t>
      </w:r>
      <w:r w:rsidR="000D3348">
        <w:t>managed in the framework of existing exposure situations</w:t>
      </w:r>
      <w:r w:rsidRPr="00AF2A12">
        <w:t xml:space="preserve">. </w:t>
      </w:r>
      <w:r w:rsidR="000D3348" w:rsidRPr="000D3348">
        <w:t>For exposures that are not certain to occur</w:t>
      </w:r>
      <w:r w:rsidR="00BA341D">
        <w:t>,</w:t>
      </w:r>
      <w:r w:rsidR="000D3348" w:rsidRPr="000D3348">
        <w:t xml:space="preserve"> a probabilistic approach is needed</w:t>
      </w:r>
      <w:r w:rsidR="000D3348">
        <w:t>,</w:t>
      </w:r>
      <w:r w:rsidR="000D3348" w:rsidRPr="000D3348">
        <w:t xml:space="preserve"> noting that the term potential exposure is normally reserved for planned exposure situations.</w:t>
      </w:r>
      <w:r w:rsidR="000D3348">
        <w:t xml:space="preserve"> </w:t>
      </w:r>
    </w:p>
    <w:p w14:paraId="4CC55C36" w14:textId="1B27477C" w:rsidR="000D3348" w:rsidRDefault="000D3348" w:rsidP="000D3348">
      <w:pPr>
        <w:pStyle w:val="ICRPnumberedparagraph"/>
        <w:numPr>
          <w:ilvl w:val="0"/>
          <w:numId w:val="13"/>
        </w:numPr>
        <w:tabs>
          <w:tab w:val="num" w:pos="630"/>
        </w:tabs>
        <w:ind w:left="0"/>
      </w:pPr>
      <w:r w:rsidRPr="000D3348">
        <w:t xml:space="preserve">This </w:t>
      </w:r>
      <w:r w:rsidR="003A4B37">
        <w:t xml:space="preserve">publication </w:t>
      </w:r>
      <w:r w:rsidRPr="000D3348">
        <w:t xml:space="preserve">does not address the planned </w:t>
      </w:r>
      <w:r w:rsidR="00BA341D">
        <w:t>remedi</w:t>
      </w:r>
      <w:r w:rsidRPr="000D3348">
        <w:t>ation of areas as part of the operation or decommissioning of facilities that were continuously maintained under adequate regulatory control</w:t>
      </w:r>
      <w:r w:rsidR="00EB7268">
        <w:t>,</w:t>
      </w:r>
      <w:r w:rsidRPr="000D3348">
        <w:t xml:space="preserve"> or cases of contamination of locali</w:t>
      </w:r>
      <w:r w:rsidR="00264B79">
        <w:t>s</w:t>
      </w:r>
      <w:r w:rsidRPr="000D3348">
        <w:t>ed areas within the site boundary of an authori</w:t>
      </w:r>
      <w:r w:rsidR="00264B79">
        <w:t>s</w:t>
      </w:r>
      <w:r w:rsidRPr="000D3348">
        <w:t>ed facility, which are treated in the framework of planned exposure situations.</w:t>
      </w:r>
    </w:p>
    <w:p w14:paraId="48BDD7B2" w14:textId="4CEE2EF2" w:rsidR="002C5854" w:rsidRPr="00AF2A12" w:rsidRDefault="00F05703" w:rsidP="000771AC">
      <w:pPr>
        <w:pStyle w:val="ICRPnumberedparagraph"/>
        <w:numPr>
          <w:ilvl w:val="0"/>
          <w:numId w:val="13"/>
        </w:numPr>
        <w:tabs>
          <w:tab w:val="num" w:pos="630"/>
        </w:tabs>
        <w:ind w:left="0"/>
      </w:pPr>
      <w:r w:rsidRPr="00AF2A12">
        <w:t>Emergency exposure situations in case of a severe nuclear power plant accident and subsequent post-accidental phase</w:t>
      </w:r>
      <w:r w:rsidR="00EB7268">
        <w:t>,</w:t>
      </w:r>
      <w:r w:rsidRPr="00AF2A12">
        <w:t xml:space="preserve"> which are addressed in </w:t>
      </w:r>
      <w:r w:rsidRPr="00667C97">
        <w:rPr>
          <w:i/>
          <w:iCs/>
        </w:rPr>
        <w:t>Publication 146</w:t>
      </w:r>
      <w:r w:rsidRPr="00AF2A12">
        <w:t xml:space="preserve"> (ICRP, 2020)</w:t>
      </w:r>
      <w:r w:rsidR="00EB7268">
        <w:t>,</w:t>
      </w:r>
      <w:r w:rsidRPr="00AF2A12">
        <w:t xml:space="preserve"> are not considered in the scope of this </w:t>
      </w:r>
      <w:r w:rsidR="003A4B37">
        <w:t>publication</w:t>
      </w:r>
      <w:r w:rsidRPr="00AF2A12">
        <w:t>.</w:t>
      </w:r>
    </w:p>
    <w:p w14:paraId="360891FE" w14:textId="77777777" w:rsidR="003272DB" w:rsidRPr="009F6388" w:rsidRDefault="003272DB" w:rsidP="00BE03BD">
      <w:pPr>
        <w:pStyle w:val="AnnalshdgB"/>
        <w:numPr>
          <w:ilvl w:val="1"/>
          <w:numId w:val="42"/>
        </w:numPr>
        <w:jc w:val="left"/>
        <w:rPr>
          <w:i w:val="0"/>
          <w:iCs w:val="0"/>
        </w:rPr>
      </w:pPr>
      <w:bookmarkStart w:id="19" w:name="_Toc117873821"/>
      <w:bookmarkStart w:id="20" w:name="_Toc159397462"/>
      <w:bookmarkStart w:id="21" w:name="_Toc166586800"/>
      <w:r w:rsidRPr="009F6388">
        <w:rPr>
          <w:i w:val="0"/>
          <w:iCs w:val="0"/>
        </w:rPr>
        <w:lastRenderedPageBreak/>
        <w:t>Structure of publication</w:t>
      </w:r>
      <w:bookmarkEnd w:id="19"/>
      <w:bookmarkEnd w:id="20"/>
      <w:bookmarkEnd w:id="21"/>
    </w:p>
    <w:p w14:paraId="01D59E4F" w14:textId="58D13311" w:rsidR="00133CFE" w:rsidRPr="003C0A5D" w:rsidRDefault="003970A7" w:rsidP="00667C97">
      <w:pPr>
        <w:pStyle w:val="ICRPnumberedparagraph"/>
        <w:numPr>
          <w:ilvl w:val="0"/>
          <w:numId w:val="13"/>
        </w:numPr>
        <w:tabs>
          <w:tab w:val="num" w:pos="630"/>
        </w:tabs>
        <w:spacing w:after="240"/>
        <w:ind w:left="0"/>
      </w:pPr>
      <w:r w:rsidRPr="003C0A5D">
        <w:t xml:space="preserve">This </w:t>
      </w:r>
      <w:r w:rsidR="007D16D5" w:rsidRPr="003C0A5D">
        <w:t xml:space="preserve">introductory section is followed by </w:t>
      </w:r>
      <w:r w:rsidR="00DA05E9" w:rsidRPr="003C0A5D">
        <w:t xml:space="preserve">four </w:t>
      </w:r>
      <w:r w:rsidR="00134454">
        <w:t>s</w:t>
      </w:r>
      <w:r w:rsidR="007D16D5" w:rsidRPr="003C0A5D">
        <w:t>ections</w:t>
      </w:r>
      <w:r w:rsidR="006870B6">
        <w:t xml:space="preserve"> and an </w:t>
      </w:r>
      <w:r w:rsidR="00134454">
        <w:t>a</w:t>
      </w:r>
      <w:r w:rsidR="006870B6">
        <w:t>nnex with 5 case studies</w:t>
      </w:r>
      <w:r w:rsidR="00920841" w:rsidRPr="003C0A5D">
        <w:t>.</w:t>
      </w:r>
    </w:p>
    <w:p w14:paraId="7B26F8CA" w14:textId="2F1913C8" w:rsidR="00133CFE" w:rsidRPr="00AF2A12" w:rsidRDefault="00F05703" w:rsidP="00667C97">
      <w:pPr>
        <w:numPr>
          <w:ilvl w:val="0"/>
          <w:numId w:val="1"/>
        </w:numPr>
        <w:autoSpaceDE w:val="0"/>
        <w:autoSpaceDN w:val="0"/>
        <w:adjustRightInd w:val="0"/>
        <w:ind w:left="482" w:hanging="482"/>
        <w:jc w:val="both"/>
        <w:rPr>
          <w:color w:val="000000" w:themeColor="text1"/>
        </w:rPr>
      </w:pPr>
      <w:r w:rsidRPr="00AF2A12">
        <w:rPr>
          <w:color w:val="000000" w:themeColor="text1"/>
        </w:rPr>
        <w:t xml:space="preserve">Section 2 </w:t>
      </w:r>
      <w:r w:rsidRPr="00AF2A12">
        <w:rPr>
          <w:color w:val="000000" w:themeColor="text1"/>
          <w:lang w:val="en-US"/>
        </w:rPr>
        <w:t xml:space="preserve">presents the characteristics of exposures associated with areas contaminated </w:t>
      </w:r>
      <w:r w:rsidR="00195E21">
        <w:rPr>
          <w:color w:val="000000" w:themeColor="text1"/>
          <w:lang w:val="en-US"/>
        </w:rPr>
        <w:t xml:space="preserve">by </w:t>
      </w:r>
      <w:r w:rsidRPr="00AF2A12">
        <w:rPr>
          <w:color w:val="000000" w:themeColor="text1"/>
          <w:lang w:val="en-US"/>
        </w:rPr>
        <w:t>past activities</w:t>
      </w:r>
      <w:r w:rsidR="00CE0467">
        <w:rPr>
          <w:color w:val="000000" w:themeColor="text1"/>
        </w:rPr>
        <w:t>, based on case studies described in Annex</w:t>
      </w:r>
      <w:r w:rsidR="00134454">
        <w:rPr>
          <w:color w:val="000000" w:themeColor="text1"/>
        </w:rPr>
        <w:t xml:space="preserve"> A</w:t>
      </w:r>
      <w:r w:rsidR="00CE0467">
        <w:rPr>
          <w:color w:val="000000" w:themeColor="text1"/>
        </w:rPr>
        <w:t>.</w:t>
      </w:r>
    </w:p>
    <w:p w14:paraId="21235127" w14:textId="77777777" w:rsidR="00133CFE" w:rsidRPr="00AF2A12" w:rsidRDefault="00F05703" w:rsidP="00667C97">
      <w:pPr>
        <w:numPr>
          <w:ilvl w:val="0"/>
          <w:numId w:val="1"/>
        </w:numPr>
        <w:autoSpaceDE w:val="0"/>
        <w:autoSpaceDN w:val="0"/>
        <w:adjustRightInd w:val="0"/>
        <w:ind w:left="482" w:hanging="482"/>
        <w:jc w:val="both"/>
        <w:rPr>
          <w:color w:val="000000" w:themeColor="text1"/>
        </w:rPr>
      </w:pPr>
      <w:r w:rsidRPr="00AF2A12">
        <w:rPr>
          <w:color w:val="000000" w:themeColor="text1"/>
        </w:rPr>
        <w:t>Section 3 describes the Commission’s system of radiological protection applied to exposures resulting from areas contaminated from past human activities, including the type of exposure situation, the category of exposure concerned and the basic principles to be applied.</w:t>
      </w:r>
    </w:p>
    <w:p w14:paraId="62ED01A2" w14:textId="77777777" w:rsidR="005B482A" w:rsidRPr="00AF2A12" w:rsidRDefault="00F05703" w:rsidP="00667C97">
      <w:pPr>
        <w:numPr>
          <w:ilvl w:val="0"/>
          <w:numId w:val="1"/>
        </w:numPr>
        <w:autoSpaceDE w:val="0"/>
        <w:autoSpaceDN w:val="0"/>
        <w:adjustRightInd w:val="0"/>
        <w:ind w:left="482" w:hanging="482"/>
        <w:jc w:val="both"/>
        <w:rPr>
          <w:color w:val="000000" w:themeColor="text1"/>
        </w:rPr>
      </w:pPr>
      <w:r w:rsidRPr="00AF2A12">
        <w:rPr>
          <w:color w:val="000000" w:themeColor="text1"/>
        </w:rPr>
        <w:t xml:space="preserve">Section 4 </w:t>
      </w:r>
      <w:r w:rsidRPr="00AF2A12">
        <w:rPr>
          <w:color w:val="000000" w:themeColor="text1"/>
          <w:lang w:val="en-US"/>
        </w:rPr>
        <w:t xml:space="preserve">provides guidance on the implementation of the system of radiological protection of the public, </w:t>
      </w:r>
      <w:r w:rsidR="00687E09">
        <w:rPr>
          <w:color w:val="000000" w:themeColor="text1"/>
          <w:lang w:val="en-US"/>
        </w:rPr>
        <w:t xml:space="preserve">the environment and </w:t>
      </w:r>
      <w:r w:rsidRPr="00AF2A12">
        <w:rPr>
          <w:color w:val="000000" w:themeColor="text1"/>
          <w:lang w:val="en-US"/>
        </w:rPr>
        <w:t xml:space="preserve">remediation workers </w:t>
      </w:r>
      <w:r w:rsidR="00321B03">
        <w:rPr>
          <w:color w:val="000000" w:themeColor="text1"/>
          <w:lang w:val="en-US"/>
        </w:rPr>
        <w:t xml:space="preserve">over the lifetime of </w:t>
      </w:r>
      <w:r w:rsidR="000244FA">
        <w:rPr>
          <w:color w:val="000000" w:themeColor="text1"/>
          <w:lang w:val="en-US"/>
        </w:rPr>
        <w:t xml:space="preserve">the </w:t>
      </w:r>
      <w:r w:rsidR="008E5B43">
        <w:rPr>
          <w:color w:val="000000" w:themeColor="text1"/>
          <w:lang w:val="en-US"/>
        </w:rPr>
        <w:t>remediation process.</w:t>
      </w:r>
    </w:p>
    <w:p w14:paraId="39649418" w14:textId="77777777" w:rsidR="005813E9" w:rsidRDefault="00A91B46" w:rsidP="00667C97">
      <w:pPr>
        <w:numPr>
          <w:ilvl w:val="0"/>
          <w:numId w:val="1"/>
        </w:numPr>
        <w:autoSpaceDE w:val="0"/>
        <w:autoSpaceDN w:val="0"/>
        <w:adjustRightInd w:val="0"/>
        <w:ind w:left="482" w:hanging="482"/>
        <w:jc w:val="both"/>
        <w:rPr>
          <w:color w:val="000000" w:themeColor="text1"/>
        </w:rPr>
      </w:pPr>
      <w:r w:rsidRPr="00AF2A12">
        <w:rPr>
          <w:color w:val="000000" w:themeColor="text1"/>
        </w:rPr>
        <w:t xml:space="preserve">Section </w:t>
      </w:r>
      <w:r w:rsidR="00F05703" w:rsidRPr="00AF2A12">
        <w:rPr>
          <w:color w:val="000000" w:themeColor="text1"/>
        </w:rPr>
        <w:t>5</w:t>
      </w:r>
      <w:r w:rsidRPr="00AF2A12">
        <w:rPr>
          <w:color w:val="000000" w:themeColor="text1"/>
        </w:rPr>
        <w:t xml:space="preserve"> summari</w:t>
      </w:r>
      <w:r w:rsidR="00501C76" w:rsidRPr="00AF2A12">
        <w:rPr>
          <w:color w:val="000000" w:themeColor="text1"/>
        </w:rPr>
        <w:t>s</w:t>
      </w:r>
      <w:r w:rsidRPr="00AF2A12">
        <w:rPr>
          <w:color w:val="000000" w:themeColor="text1"/>
        </w:rPr>
        <w:t>es the main conclusion</w:t>
      </w:r>
      <w:r w:rsidR="00F05703" w:rsidRPr="00AF2A12">
        <w:rPr>
          <w:color w:val="000000" w:themeColor="text1"/>
        </w:rPr>
        <w:t>s</w:t>
      </w:r>
      <w:r w:rsidRPr="00AF2A12">
        <w:rPr>
          <w:color w:val="000000" w:themeColor="text1"/>
        </w:rPr>
        <w:t>.</w:t>
      </w:r>
    </w:p>
    <w:p w14:paraId="027071E6" w14:textId="1C9E7FF9" w:rsidR="00B97844" w:rsidRDefault="00BC1D2B" w:rsidP="00667C97">
      <w:pPr>
        <w:numPr>
          <w:ilvl w:val="0"/>
          <w:numId w:val="1"/>
        </w:numPr>
        <w:autoSpaceDE w:val="0"/>
        <w:autoSpaceDN w:val="0"/>
        <w:adjustRightInd w:val="0"/>
        <w:ind w:left="482" w:hanging="482"/>
        <w:jc w:val="both"/>
        <w:rPr>
          <w:color w:val="000000" w:themeColor="text1"/>
        </w:rPr>
      </w:pPr>
      <w:r>
        <w:rPr>
          <w:color w:val="000000" w:themeColor="text1"/>
        </w:rPr>
        <w:t xml:space="preserve">The Annex includes 5 case studies </w:t>
      </w:r>
      <w:r w:rsidR="003C7018">
        <w:rPr>
          <w:color w:val="000000" w:themeColor="text1"/>
        </w:rPr>
        <w:t xml:space="preserve">each of which provides details of a particular existing exposure situation, and how </w:t>
      </w:r>
      <w:r w:rsidR="00056273">
        <w:rPr>
          <w:color w:val="000000" w:themeColor="text1"/>
        </w:rPr>
        <w:t>the situation was managed.</w:t>
      </w:r>
    </w:p>
    <w:p w14:paraId="1ED39728" w14:textId="17D2BDDB" w:rsidR="00A91B46" w:rsidRPr="00AF2A12" w:rsidRDefault="005813E9" w:rsidP="00BE03BD">
      <w:pPr>
        <w:rPr>
          <w:color w:val="000000" w:themeColor="text1"/>
        </w:rPr>
      </w:pPr>
      <w:r>
        <w:rPr>
          <w:color w:val="000000" w:themeColor="text1"/>
        </w:rPr>
        <w:br w:type="page"/>
      </w:r>
    </w:p>
    <w:p w14:paraId="4E6CAE88" w14:textId="4F3ABDDD" w:rsidR="000153C4" w:rsidRPr="00BE03BD" w:rsidRDefault="00F05703" w:rsidP="00BE03BD">
      <w:pPr>
        <w:pStyle w:val="AnnalshdgA"/>
        <w:numPr>
          <w:ilvl w:val="0"/>
          <w:numId w:val="42"/>
        </w:numPr>
        <w:tabs>
          <w:tab w:val="num" w:pos="8730"/>
        </w:tabs>
        <w:rPr>
          <w:rFonts w:eastAsia="PMingLiU"/>
          <w:caps w:val="0"/>
          <w:snapToGrid w:val="0"/>
          <w:kern w:val="0"/>
          <w:lang w:val="en-CA" w:eastAsia="en-US"/>
        </w:rPr>
      </w:pPr>
      <w:bookmarkStart w:id="22" w:name="_Toc117873822"/>
      <w:bookmarkStart w:id="23" w:name="_Toc159397463"/>
      <w:bookmarkStart w:id="24" w:name="_Toc166586801"/>
      <w:r w:rsidRPr="005813E9">
        <w:rPr>
          <w:rFonts w:eastAsia="PMingLiU"/>
          <w:caps w:val="0"/>
          <w:snapToGrid w:val="0"/>
          <w:kern w:val="0"/>
          <w:lang w:val="en-CA" w:eastAsia="en-US"/>
        </w:rPr>
        <w:lastRenderedPageBreak/>
        <w:t>CHARACTERISTICS</w:t>
      </w:r>
      <w:r w:rsidR="003A7F17" w:rsidRPr="005813E9">
        <w:rPr>
          <w:rFonts w:eastAsia="PMingLiU"/>
          <w:caps w:val="0"/>
          <w:snapToGrid w:val="0"/>
          <w:kern w:val="0"/>
          <w:lang w:val="en-CA" w:eastAsia="en-US"/>
        </w:rPr>
        <w:t xml:space="preserve"> </w:t>
      </w:r>
      <w:r w:rsidRPr="005813E9">
        <w:rPr>
          <w:rFonts w:eastAsia="PMingLiU"/>
          <w:caps w:val="0"/>
          <w:snapToGrid w:val="0"/>
          <w:kern w:val="0"/>
          <w:lang w:val="en-CA" w:eastAsia="en-US"/>
        </w:rPr>
        <w:t>OF EXPOSURES FROM C</w:t>
      </w:r>
      <w:r w:rsidR="00685042" w:rsidRPr="005813E9">
        <w:rPr>
          <w:rFonts w:eastAsia="PMingLiU"/>
          <w:caps w:val="0"/>
          <w:snapToGrid w:val="0"/>
          <w:kern w:val="0"/>
          <w:lang w:val="en-CA" w:eastAsia="en-US"/>
        </w:rPr>
        <w:t>ON</w:t>
      </w:r>
      <w:r w:rsidRPr="005813E9">
        <w:rPr>
          <w:rFonts w:eastAsia="PMingLiU"/>
          <w:caps w:val="0"/>
          <w:snapToGrid w:val="0"/>
          <w:kern w:val="0"/>
          <w:lang w:val="en-CA" w:eastAsia="en-US"/>
        </w:rPr>
        <w:t xml:space="preserve">TAMINATED AREAS </w:t>
      </w:r>
      <w:r w:rsidR="00FD68EA">
        <w:rPr>
          <w:rFonts w:eastAsia="PMingLiU"/>
          <w:caps w:val="0"/>
          <w:snapToGrid w:val="0"/>
          <w:kern w:val="0"/>
          <w:lang w:val="en-CA" w:eastAsia="en-US"/>
        </w:rPr>
        <w:t>BY</w:t>
      </w:r>
      <w:r w:rsidR="00FD68EA" w:rsidRPr="005813E9">
        <w:rPr>
          <w:rFonts w:eastAsia="PMingLiU"/>
          <w:caps w:val="0"/>
          <w:snapToGrid w:val="0"/>
          <w:kern w:val="0"/>
          <w:lang w:val="en-CA" w:eastAsia="en-US"/>
        </w:rPr>
        <w:t xml:space="preserve"> </w:t>
      </w:r>
      <w:r w:rsidRPr="005813E9">
        <w:rPr>
          <w:rFonts w:eastAsia="PMingLiU"/>
          <w:caps w:val="0"/>
          <w:snapToGrid w:val="0"/>
          <w:kern w:val="0"/>
          <w:lang w:val="en-CA" w:eastAsia="en-US"/>
        </w:rPr>
        <w:t>PAST ACTIV</w:t>
      </w:r>
      <w:r w:rsidR="00BC5B97">
        <w:rPr>
          <w:rFonts w:eastAsia="PMingLiU"/>
          <w:caps w:val="0"/>
          <w:snapToGrid w:val="0"/>
          <w:kern w:val="0"/>
          <w:lang w:val="en-CA" w:eastAsia="en-US"/>
        </w:rPr>
        <w:t>I</w:t>
      </w:r>
      <w:r w:rsidRPr="005813E9">
        <w:rPr>
          <w:rFonts w:eastAsia="PMingLiU"/>
          <w:caps w:val="0"/>
          <w:snapToGrid w:val="0"/>
          <w:kern w:val="0"/>
          <w:lang w:val="en-CA" w:eastAsia="en-US"/>
        </w:rPr>
        <w:t>TIES</w:t>
      </w:r>
      <w:bookmarkEnd w:id="22"/>
      <w:bookmarkEnd w:id="23"/>
      <w:bookmarkEnd w:id="24"/>
    </w:p>
    <w:p w14:paraId="3A7072E5" w14:textId="76411225" w:rsidR="00D62592" w:rsidRPr="00721F10" w:rsidRDefault="00F05703" w:rsidP="000771AC">
      <w:pPr>
        <w:pStyle w:val="ICRPnumberedparagraph"/>
        <w:numPr>
          <w:ilvl w:val="0"/>
          <w:numId w:val="13"/>
        </w:numPr>
        <w:tabs>
          <w:tab w:val="num" w:pos="630"/>
        </w:tabs>
        <w:ind w:left="0"/>
      </w:pPr>
      <w:r w:rsidRPr="00721F10">
        <w:t xml:space="preserve">From the initial use of radium in the late nineteenth and early </w:t>
      </w:r>
      <w:r w:rsidR="00C151B2">
        <w:t>20</w:t>
      </w:r>
      <w:r w:rsidR="00C151B2" w:rsidRPr="00721F10">
        <w:t xml:space="preserve">th </w:t>
      </w:r>
      <w:r w:rsidRPr="00721F10">
        <w:t>century, the generation and use of radioactive material h</w:t>
      </w:r>
      <w:r w:rsidR="00970B50">
        <w:t>ave</w:t>
      </w:r>
      <w:r w:rsidRPr="00721F10">
        <w:t xml:space="preserve"> greatly expanded. Past activities and </w:t>
      </w:r>
      <w:r w:rsidR="00B04247" w:rsidRPr="00721F10">
        <w:t xml:space="preserve">regulatory control not in accordance with current </w:t>
      </w:r>
      <w:r w:rsidR="00970B50">
        <w:t xml:space="preserve">knowledge and </w:t>
      </w:r>
      <w:r w:rsidR="00590399">
        <w:t>standards</w:t>
      </w:r>
      <w:r w:rsidR="00590399" w:rsidRPr="00721F10">
        <w:t xml:space="preserve"> </w:t>
      </w:r>
      <w:r w:rsidR="007F10F5">
        <w:t xml:space="preserve">has led to </w:t>
      </w:r>
      <w:r w:rsidR="00CE4DE9">
        <w:t xml:space="preserve">radioactive </w:t>
      </w:r>
      <w:r w:rsidRPr="00721F10">
        <w:t xml:space="preserve">contamination of the soil, air, </w:t>
      </w:r>
      <w:r w:rsidR="007D1CD4">
        <w:t xml:space="preserve">sediments, </w:t>
      </w:r>
      <w:r w:rsidRPr="00721F10">
        <w:t>water and, in some cases, structures</w:t>
      </w:r>
      <w:r w:rsidR="0071737A">
        <w:t>,</w:t>
      </w:r>
      <w:r w:rsidRPr="00721F10">
        <w:t xml:space="preserve"> with radioactive material</w:t>
      </w:r>
      <w:r w:rsidR="00556744" w:rsidRPr="00721F10">
        <w:t xml:space="preserve">. </w:t>
      </w:r>
      <w:r w:rsidR="00556744" w:rsidRPr="00CC3F85">
        <w:t>A</w:t>
      </w:r>
      <w:r w:rsidR="00E0253E" w:rsidRPr="00CC3F85">
        <w:t xml:space="preserve">reas </w:t>
      </w:r>
      <w:r w:rsidR="00556744" w:rsidRPr="0011734B">
        <w:t>of land</w:t>
      </w:r>
      <w:r w:rsidR="00556744" w:rsidRPr="00CC3F85">
        <w:t xml:space="preserve"> </w:t>
      </w:r>
      <w:r w:rsidR="00E0253E" w:rsidRPr="00CC3F85">
        <w:t>(including soil, surface w</w:t>
      </w:r>
      <w:r w:rsidR="00E0253E">
        <w:t>ater, groundwater</w:t>
      </w:r>
      <w:r w:rsidR="00B428A6">
        <w:t>,</w:t>
      </w:r>
      <w:r w:rsidR="00E0253E">
        <w:t xml:space="preserve"> and </w:t>
      </w:r>
      <w:r w:rsidR="00556744" w:rsidRPr="00721F10">
        <w:t>structures</w:t>
      </w:r>
      <w:r w:rsidR="00E0253E">
        <w:t>)</w:t>
      </w:r>
      <w:r w:rsidR="00556744" w:rsidRPr="00721F10">
        <w:t xml:space="preserve"> that are now deemed to be contaminated by the historical use of radioactivity are </w:t>
      </w:r>
      <w:r w:rsidR="000536C0">
        <w:t xml:space="preserve">sometimes </w:t>
      </w:r>
      <w:r w:rsidR="00556744" w:rsidRPr="00721F10">
        <w:t>referred to as legacy sites</w:t>
      </w:r>
      <w:r w:rsidR="00BD3472" w:rsidRPr="00721F10">
        <w:t xml:space="preserve"> (NEA, 2019</w:t>
      </w:r>
      <w:r w:rsidR="00C151B2">
        <w:t>,</w:t>
      </w:r>
      <w:r w:rsidR="005C29AC">
        <w:t xml:space="preserve"> </w:t>
      </w:r>
      <w:r w:rsidR="00C151B2">
        <w:t>2021</w:t>
      </w:r>
      <w:r w:rsidR="00BD3472" w:rsidRPr="00721F10">
        <w:t>; DSA, 2020</w:t>
      </w:r>
      <w:r w:rsidR="002D2D87">
        <w:t>; IAEA, 2022</w:t>
      </w:r>
      <w:r w:rsidR="00BD3472" w:rsidRPr="00721F10">
        <w:t>)</w:t>
      </w:r>
      <w:r w:rsidR="00556744" w:rsidRPr="00721F10">
        <w:t>.</w:t>
      </w:r>
    </w:p>
    <w:p w14:paraId="06F48CB8" w14:textId="2D5D1211" w:rsidR="00F05703" w:rsidRPr="00721F10" w:rsidRDefault="00F11B7E" w:rsidP="000771AC">
      <w:pPr>
        <w:pStyle w:val="ICRPnumberedparagraph"/>
        <w:numPr>
          <w:ilvl w:val="0"/>
          <w:numId w:val="13"/>
        </w:numPr>
        <w:tabs>
          <w:tab w:val="num" w:pos="630"/>
        </w:tabs>
        <w:ind w:left="0"/>
      </w:pPr>
      <w:r w:rsidRPr="00721F10">
        <w:t>S</w:t>
      </w:r>
      <w:r w:rsidR="00F05703" w:rsidRPr="00721F10">
        <w:t>uch areas cover a wide spectrum</w:t>
      </w:r>
      <w:r w:rsidR="00DA6C90">
        <w:t xml:space="preserve"> of facilities and activities</w:t>
      </w:r>
      <w:r w:rsidR="00F05703" w:rsidRPr="00721F10">
        <w:t xml:space="preserve"> that range from uranium mining and milling operations, nuclear weapons production, </w:t>
      </w:r>
      <w:r w:rsidR="00DA6C90">
        <w:t xml:space="preserve">and </w:t>
      </w:r>
      <w:r w:rsidR="00F05703" w:rsidRPr="00721F10">
        <w:t xml:space="preserve">nuclear </w:t>
      </w:r>
      <w:proofErr w:type="gramStart"/>
      <w:r w:rsidR="00F05703" w:rsidRPr="00721F10">
        <w:t xml:space="preserve">weapons </w:t>
      </w:r>
      <w:r w:rsidR="002E0F38">
        <w:t xml:space="preserve"> testing</w:t>
      </w:r>
      <w:proofErr w:type="gramEnd"/>
      <w:r w:rsidR="00F05703" w:rsidRPr="00721F10">
        <w:t xml:space="preserve">, accidental or intentional releases from </w:t>
      </w:r>
      <w:r w:rsidR="002E0F38">
        <w:t xml:space="preserve">operational </w:t>
      </w:r>
      <w:r w:rsidR="00F05703" w:rsidRPr="00721F10">
        <w:t xml:space="preserve">nuclear facilities </w:t>
      </w:r>
      <w:r w:rsidR="00DA6C90">
        <w:t>to</w:t>
      </w:r>
      <w:r w:rsidR="00DA6C90" w:rsidRPr="00721F10">
        <w:t xml:space="preserve"> </w:t>
      </w:r>
      <w:r w:rsidR="00F05703" w:rsidRPr="00721F10">
        <w:t>releases from factories that utilised radioactive material in their production</w:t>
      </w:r>
      <w:r w:rsidR="004462AA">
        <w:t xml:space="preserve"> processes</w:t>
      </w:r>
      <w:r w:rsidR="00F05703" w:rsidRPr="00721F10">
        <w:t xml:space="preserve">. Furthermore, past activities have </w:t>
      </w:r>
      <w:r w:rsidR="00104CC4" w:rsidRPr="00721F10">
        <w:t xml:space="preserve">sometimes </w:t>
      </w:r>
      <w:r w:rsidR="00F05703" w:rsidRPr="00721F10">
        <w:t>resulted in dispersal of radioactive material through air and water resulting in contaminated area</w:t>
      </w:r>
      <w:r w:rsidR="00DA6C90">
        <w:t>s</w:t>
      </w:r>
      <w:r w:rsidR="00F05703" w:rsidRPr="00721F10">
        <w:t xml:space="preserve"> outside the boundaries of the site. Therefore, a contaminated area may represent not only the geographical boundaries of the site, but areas outside its boundaries that have become contaminated </w:t>
      </w:r>
      <w:proofErr w:type="gramStart"/>
      <w:r w:rsidR="00F05703" w:rsidRPr="00721F10">
        <w:t>as a result of</w:t>
      </w:r>
      <w:proofErr w:type="gramEnd"/>
      <w:r w:rsidR="00F05703" w:rsidRPr="00721F10">
        <w:t xml:space="preserve"> release and transport of radionuclides </w:t>
      </w:r>
      <w:r w:rsidR="00E0253E">
        <w:t>present</w:t>
      </w:r>
      <w:r w:rsidR="00F05703" w:rsidRPr="00721F10">
        <w:t xml:space="preserve"> </w:t>
      </w:r>
      <w:r w:rsidR="00042C53">
        <w:t>on</w:t>
      </w:r>
      <w:r w:rsidR="00042C53" w:rsidRPr="00721F10">
        <w:t xml:space="preserve"> </w:t>
      </w:r>
      <w:r w:rsidR="00F05703" w:rsidRPr="00721F10">
        <w:t>the site.</w:t>
      </w:r>
    </w:p>
    <w:p w14:paraId="74AA3BB5" w14:textId="6388ACB0" w:rsidR="00F03321" w:rsidRDefault="00721F10" w:rsidP="00B646B7">
      <w:pPr>
        <w:pStyle w:val="ICRPnumberedparagraph"/>
        <w:numPr>
          <w:ilvl w:val="0"/>
          <w:numId w:val="13"/>
        </w:numPr>
        <w:tabs>
          <w:tab w:val="num" w:pos="630"/>
        </w:tabs>
        <w:ind w:left="0"/>
      </w:pPr>
      <w:r>
        <w:t>T</w:t>
      </w:r>
      <w:r w:rsidR="00F05703" w:rsidRPr="00721F10">
        <w:t xml:space="preserve">his </w:t>
      </w:r>
      <w:r w:rsidR="00AD5432">
        <w:t>P</w:t>
      </w:r>
      <w:r w:rsidR="004C087C" w:rsidRPr="00721F10">
        <w:t xml:space="preserve">ublication </w:t>
      </w:r>
      <w:r w:rsidR="00F05703" w:rsidRPr="00721F10">
        <w:t>use</w:t>
      </w:r>
      <w:r w:rsidR="004C087C" w:rsidRPr="00721F10">
        <w:t>s</w:t>
      </w:r>
      <w:r w:rsidR="00F05703" w:rsidRPr="00721F10">
        <w:t xml:space="preserve"> the term </w:t>
      </w:r>
      <w:r w:rsidR="00DE6701">
        <w:t>‘</w:t>
      </w:r>
      <w:r w:rsidR="00F05703" w:rsidRPr="00721F10">
        <w:t>contaminated area</w:t>
      </w:r>
      <w:r w:rsidR="00DE6701">
        <w:t>’</w:t>
      </w:r>
      <w:r w:rsidR="00F05703" w:rsidRPr="00721F10">
        <w:t xml:space="preserve"> to mean the geographical region defined by the extent of the </w:t>
      </w:r>
      <w:r w:rsidR="00B66C00">
        <w:t>r</w:t>
      </w:r>
      <w:r w:rsidR="00A97D62">
        <w:t xml:space="preserve">adioactive </w:t>
      </w:r>
      <w:r w:rsidR="00F05703" w:rsidRPr="00721F10">
        <w:t>contamination, rather than other limits</w:t>
      </w:r>
      <w:r w:rsidR="00CF5F43" w:rsidRPr="00721F10">
        <w:t xml:space="preserve"> such as site or facility boundaries</w:t>
      </w:r>
      <w:r w:rsidR="00F05703" w:rsidRPr="00721F10">
        <w:t xml:space="preserve">. The exposure conditions of a contaminated area </w:t>
      </w:r>
      <w:r w:rsidR="00E32F40" w:rsidRPr="00721F10">
        <w:t xml:space="preserve">where the source is generally dispersed in the environment and exposure occurs to a population of individuals who may </w:t>
      </w:r>
      <w:proofErr w:type="gramStart"/>
      <w:r w:rsidR="00E32F40" w:rsidRPr="00721F10">
        <w:t>come in contact with</w:t>
      </w:r>
      <w:proofErr w:type="gramEnd"/>
      <w:r w:rsidR="00E32F40" w:rsidRPr="00721F10">
        <w:t xml:space="preserve"> the contamination</w:t>
      </w:r>
      <w:r w:rsidR="00E32F40">
        <w:t>,</w:t>
      </w:r>
      <w:r w:rsidR="00E32F40" w:rsidRPr="00721F10">
        <w:t xml:space="preserve"> </w:t>
      </w:r>
      <w:r w:rsidR="00F05703" w:rsidRPr="00721F10">
        <w:t>represent an existing exposure situation</w:t>
      </w:r>
      <w:r w:rsidR="00AD5432">
        <w:t xml:space="preserve">, as defined by </w:t>
      </w:r>
      <w:r w:rsidR="006874C4">
        <w:t>the Commission</w:t>
      </w:r>
      <w:r w:rsidR="004F549E">
        <w:t>.</w:t>
      </w:r>
      <w:r w:rsidR="00F05703" w:rsidRPr="00721F10">
        <w:t xml:space="preserve"> </w:t>
      </w:r>
      <w:r w:rsidR="00E32F40">
        <w:t>The source already exists when decision</w:t>
      </w:r>
      <w:r w:rsidR="005C3A3E">
        <w:t>s</w:t>
      </w:r>
      <w:r w:rsidR="00E32F40">
        <w:t xml:space="preserve"> on control </w:t>
      </w:r>
      <w:r w:rsidR="005C3A3E">
        <w:t xml:space="preserve">are </w:t>
      </w:r>
      <w:r w:rsidR="00E32F40">
        <w:t xml:space="preserve">taken. Consequently, </w:t>
      </w:r>
      <w:r w:rsidR="00F8645A">
        <w:t xml:space="preserve">as </w:t>
      </w:r>
      <w:r w:rsidR="00E32F40">
        <w:t xml:space="preserve">the control of the source does not start </w:t>
      </w:r>
      <w:r w:rsidR="00CC12B9">
        <w:t>initially, some</w:t>
      </w:r>
      <w:r w:rsidR="00E32F40">
        <w:t xml:space="preserve"> options such as </w:t>
      </w:r>
      <w:r w:rsidR="002E0F38">
        <w:t xml:space="preserve">removal </w:t>
      </w:r>
      <w:r w:rsidR="00E32F40">
        <w:t xml:space="preserve">or full containment of the source may be </w:t>
      </w:r>
      <w:r w:rsidR="00E5515C">
        <w:t>impract</w:t>
      </w:r>
      <w:r w:rsidR="004A2659">
        <w:t>ical or impossible to achieve</w:t>
      </w:r>
      <w:r w:rsidR="00E32F40">
        <w:t>; there is chronic exposure but no prospect for an emergency</w:t>
      </w:r>
      <w:r w:rsidR="00BC7A20">
        <w:t>,</w:t>
      </w:r>
      <w:r w:rsidR="00E32F40">
        <w:t xml:space="preserve"> as doses are generally moderate, with no prospect </w:t>
      </w:r>
      <w:r w:rsidR="000407F6">
        <w:t xml:space="preserve">in most areas </w:t>
      </w:r>
      <w:r w:rsidR="00703A3B">
        <w:t>for</w:t>
      </w:r>
      <w:r w:rsidR="00E32F40">
        <w:t xml:space="preserve"> tissue reactions. However, both members of the public and </w:t>
      </w:r>
      <w:r w:rsidR="00037EFE">
        <w:t xml:space="preserve">remediation </w:t>
      </w:r>
      <w:r w:rsidR="00E32F40">
        <w:t>workers may be exposed to internal and external exposure. The actual level</w:t>
      </w:r>
      <w:r w:rsidR="00760820">
        <w:t>s</w:t>
      </w:r>
      <w:r w:rsidR="00E32F40">
        <w:t xml:space="preserve"> of exposure cannot be assessed without characteris</w:t>
      </w:r>
      <w:r w:rsidR="00760820">
        <w:t xml:space="preserve">ing </w:t>
      </w:r>
      <w:r w:rsidR="00E32F40">
        <w:t>the situation</w:t>
      </w:r>
      <w:r w:rsidR="00F05703" w:rsidRPr="00721F10">
        <w:t>.</w:t>
      </w:r>
    </w:p>
    <w:p w14:paraId="66548E4A" w14:textId="396217E4" w:rsidR="00F05703" w:rsidRDefault="00F05703" w:rsidP="000771AC">
      <w:pPr>
        <w:pStyle w:val="ICRPnumberedparagraph"/>
        <w:numPr>
          <w:ilvl w:val="0"/>
          <w:numId w:val="13"/>
        </w:numPr>
        <w:tabs>
          <w:tab w:val="num" w:pos="630"/>
        </w:tabs>
        <w:ind w:left="0"/>
      </w:pPr>
      <w:r w:rsidRPr="00721F10">
        <w:t xml:space="preserve">Five case studies </w:t>
      </w:r>
      <w:r w:rsidR="0030514E" w:rsidRPr="00721F10">
        <w:t xml:space="preserve">are </w:t>
      </w:r>
      <w:r w:rsidRPr="00721F10">
        <w:t xml:space="preserve">presented in Annex </w:t>
      </w:r>
      <w:r w:rsidR="005C29AC">
        <w:t xml:space="preserve">A </w:t>
      </w:r>
      <w:r w:rsidRPr="00721F10">
        <w:t xml:space="preserve">to </w:t>
      </w:r>
      <w:r w:rsidR="005D3452" w:rsidRPr="005D3452">
        <w:t xml:space="preserve">highlight </w:t>
      </w:r>
      <w:r w:rsidR="00732885">
        <w:t>a</w:t>
      </w:r>
      <w:r w:rsidR="005D3452" w:rsidRPr="005D3452">
        <w:t xml:space="preserve"> range of</w:t>
      </w:r>
      <w:r w:rsidR="00732885">
        <w:t xml:space="preserve"> contexts and</w:t>
      </w:r>
      <w:r w:rsidR="005D3452" w:rsidRPr="005D3452">
        <w:t xml:space="preserve"> </w:t>
      </w:r>
      <w:r w:rsidR="00732885">
        <w:t>aspects</w:t>
      </w:r>
      <w:r w:rsidR="005D3452" w:rsidRPr="005D3452">
        <w:t xml:space="preserve"> that need to be </w:t>
      </w:r>
      <w:proofErr w:type="gramStart"/>
      <w:r w:rsidR="005D3452" w:rsidRPr="005D3452">
        <w:t>taken into account</w:t>
      </w:r>
      <w:proofErr w:type="gramEnd"/>
      <w:r w:rsidR="005D3452" w:rsidRPr="005D3452">
        <w:t xml:space="preserve"> when developing </w:t>
      </w:r>
      <w:r w:rsidR="00732885">
        <w:t xml:space="preserve">protection </w:t>
      </w:r>
      <w:r w:rsidR="005D3452" w:rsidRPr="005D3452">
        <w:t>strategies</w:t>
      </w:r>
      <w:r w:rsidR="00F80A52">
        <w:t xml:space="preserve">. </w:t>
      </w:r>
      <w:r w:rsidR="00D92FB4">
        <w:t xml:space="preserve">A comparison of </w:t>
      </w:r>
      <w:r w:rsidR="00732885">
        <w:t xml:space="preserve">some </w:t>
      </w:r>
      <w:r w:rsidR="00D92FB4">
        <w:t xml:space="preserve">key parameters </w:t>
      </w:r>
      <w:r w:rsidR="00EE213B">
        <w:t xml:space="preserve">across these </w:t>
      </w:r>
      <w:r w:rsidR="00732885">
        <w:t>case studies</w:t>
      </w:r>
      <w:r w:rsidR="00EE213B">
        <w:t xml:space="preserve"> </w:t>
      </w:r>
      <w:r w:rsidR="001E1165">
        <w:t>is presented in Table 1</w:t>
      </w:r>
      <w:r w:rsidR="00732885">
        <w:t>,</w:t>
      </w:r>
      <w:r w:rsidR="001E1165">
        <w:t xml:space="preserve"> and </w:t>
      </w:r>
      <w:r w:rsidR="00AA33D9">
        <w:t>a</w:t>
      </w:r>
      <w:r w:rsidRPr="00721F10">
        <w:t>n overview of the five case studies is provided in Section 2.2.</w:t>
      </w:r>
    </w:p>
    <w:p w14:paraId="54E39E66" w14:textId="7FE238E7" w:rsidR="00350A5F" w:rsidRPr="005F324B" w:rsidRDefault="007B3F1D" w:rsidP="00481B5C">
      <w:pPr>
        <w:pStyle w:val="AnnalshdgB"/>
        <w:numPr>
          <w:ilvl w:val="1"/>
          <w:numId w:val="42"/>
        </w:numPr>
        <w:jc w:val="left"/>
        <w:rPr>
          <w:bCs/>
        </w:rPr>
      </w:pPr>
      <w:bookmarkStart w:id="25" w:name="_Toc159397464"/>
      <w:bookmarkStart w:id="26" w:name="_Toc166586802"/>
      <w:bookmarkStart w:id="27" w:name="_Toc117873823"/>
      <w:r>
        <w:rPr>
          <w:i w:val="0"/>
          <w:iCs w:val="0"/>
        </w:rPr>
        <w:t xml:space="preserve">Exposure pathways and </w:t>
      </w:r>
      <w:r w:rsidR="001A7F2D">
        <w:rPr>
          <w:i w:val="0"/>
          <w:iCs w:val="0"/>
        </w:rPr>
        <w:t>scenarios</w:t>
      </w:r>
      <w:bookmarkEnd w:id="25"/>
      <w:bookmarkEnd w:id="26"/>
    </w:p>
    <w:bookmarkEnd w:id="27"/>
    <w:p w14:paraId="36E19E94" w14:textId="033B68D0" w:rsidR="004A6135" w:rsidRPr="00B264DF" w:rsidRDefault="00F627CA" w:rsidP="004B63AE">
      <w:pPr>
        <w:pStyle w:val="ICRPnumberedparagraph"/>
        <w:numPr>
          <w:ilvl w:val="0"/>
          <w:numId w:val="13"/>
        </w:numPr>
        <w:tabs>
          <w:tab w:val="num" w:pos="630"/>
        </w:tabs>
        <w:ind w:left="0"/>
      </w:pPr>
      <w:r w:rsidRPr="00B264DF">
        <w:t>The exposure pathwa</w:t>
      </w:r>
      <w:r w:rsidR="00FF246A" w:rsidRPr="00B264DF">
        <w:t>y</w:t>
      </w:r>
      <w:r w:rsidRPr="00B264DF">
        <w:t xml:space="preserve"> is the physical route taken by radionuclides in the environment to the </w:t>
      </w:r>
      <w:r w:rsidR="00E26382">
        <w:t>receptor</w:t>
      </w:r>
      <w:r w:rsidRPr="00B264DF">
        <w:t xml:space="preserve"> who receives the radiation dose. </w:t>
      </w:r>
      <w:r w:rsidR="00363A79" w:rsidRPr="00B264DF">
        <w:t>Internal exposure due to i</w:t>
      </w:r>
      <w:r w:rsidR="00F05703" w:rsidRPr="00B264DF">
        <w:t>nhalation</w:t>
      </w:r>
      <w:r w:rsidR="00363A79" w:rsidRPr="00B264DF">
        <w:t xml:space="preserve"> and</w:t>
      </w:r>
      <w:r w:rsidR="00F05703" w:rsidRPr="00B264DF">
        <w:t xml:space="preserve"> ingestion and external exposure are the typical </w:t>
      </w:r>
      <w:r w:rsidR="00B501A0" w:rsidRPr="00B264DF">
        <w:t xml:space="preserve">modes </w:t>
      </w:r>
      <w:r w:rsidR="00F05703" w:rsidRPr="00B264DF">
        <w:t xml:space="preserve">of exposure </w:t>
      </w:r>
      <w:r w:rsidR="001362FE">
        <w:t>from</w:t>
      </w:r>
      <w:r w:rsidR="001362FE" w:rsidRPr="00B264DF">
        <w:t xml:space="preserve"> </w:t>
      </w:r>
      <w:r w:rsidR="00F05703" w:rsidRPr="00B264DF">
        <w:t>contaminated areas</w:t>
      </w:r>
      <w:r w:rsidR="00117455">
        <w:t xml:space="preserve">. However, </w:t>
      </w:r>
      <w:r w:rsidR="00EC311C">
        <w:t>depending on site-specific factors</w:t>
      </w:r>
      <w:r w:rsidR="003A342C">
        <w:t xml:space="preserve">, the total dose received by a representative user </w:t>
      </w:r>
      <w:r w:rsidR="0060729E">
        <w:t>of the land will often be dependent on only one of these exposure pathways.</w:t>
      </w:r>
      <w:r w:rsidR="00F8787E">
        <w:t xml:space="preserve"> </w:t>
      </w:r>
      <w:r w:rsidR="00F05703" w:rsidRPr="00B264DF">
        <w:t>Inhalation may arise from radionuclides resuspended from contaminated soil or radionuclides that migrate from the source to the atmosphere (</w:t>
      </w:r>
      <w:r w:rsidR="004778D6" w:rsidRPr="00B264DF">
        <w:t>e.g.</w:t>
      </w:r>
      <w:r w:rsidR="00F05703" w:rsidRPr="00B264DF">
        <w:t xml:space="preserve"> radon). The ingestion pathway includes direct ingestion</w:t>
      </w:r>
      <w:r w:rsidR="0022200F">
        <w:t xml:space="preserve"> of </w:t>
      </w:r>
      <w:r w:rsidR="00F05703" w:rsidRPr="00B264DF">
        <w:t xml:space="preserve">contaminated water and ingestion of food products that contain radionuclides </w:t>
      </w:r>
      <w:proofErr w:type="gramStart"/>
      <w:r w:rsidR="00F05703" w:rsidRPr="00B264DF">
        <w:t>as a result of</w:t>
      </w:r>
      <w:proofErr w:type="gramEnd"/>
      <w:r w:rsidR="00F05703" w:rsidRPr="00B264DF">
        <w:t xml:space="preserve"> contamination of the air, soil, water</w:t>
      </w:r>
      <w:r w:rsidR="00E21888">
        <w:t>,</w:t>
      </w:r>
      <w:r w:rsidR="007D1CD4">
        <w:t xml:space="preserve"> or sediments</w:t>
      </w:r>
      <w:r w:rsidR="00F05703" w:rsidRPr="00B264DF">
        <w:t>. External exposure</w:t>
      </w:r>
      <w:r w:rsidR="00E26382">
        <w:t xml:space="preserve"> </w:t>
      </w:r>
      <w:r w:rsidR="00A10043">
        <w:t>is caused by</w:t>
      </w:r>
      <w:r w:rsidR="00F05703" w:rsidRPr="00B264DF">
        <w:t xml:space="preserve"> </w:t>
      </w:r>
      <w:r w:rsidR="00D8076C">
        <w:t>gamma</w:t>
      </w:r>
      <w:r w:rsidR="008052CA">
        <w:t xml:space="preserve"> </w:t>
      </w:r>
      <w:r w:rsidR="00D8076C">
        <w:t>and</w:t>
      </w:r>
      <w:r w:rsidR="008052CA">
        <w:t>,</w:t>
      </w:r>
      <w:r w:rsidR="00D8076C">
        <w:t xml:space="preserve"> to a lesser extent</w:t>
      </w:r>
      <w:r w:rsidR="008052CA">
        <w:t>,</w:t>
      </w:r>
      <w:r w:rsidR="00D8076C">
        <w:t xml:space="preserve"> beta </w:t>
      </w:r>
      <w:r w:rsidR="005A3727">
        <w:t>irradiation from</w:t>
      </w:r>
      <w:r w:rsidR="00F05703" w:rsidRPr="00B264DF">
        <w:t xml:space="preserve"> environmental concentrations of radionuclides in air, </w:t>
      </w:r>
      <w:r w:rsidR="002D4048">
        <w:lastRenderedPageBreak/>
        <w:t xml:space="preserve">soil, </w:t>
      </w:r>
      <w:r w:rsidR="00F05703" w:rsidRPr="00B264DF">
        <w:t>water</w:t>
      </w:r>
      <w:r w:rsidR="0068594A">
        <w:t>,</w:t>
      </w:r>
      <w:r w:rsidR="007D1CD4">
        <w:t xml:space="preserve"> and sediments</w:t>
      </w:r>
      <w:r w:rsidR="00F05703" w:rsidRPr="00B264DF">
        <w:t>.</w:t>
      </w:r>
      <w:r w:rsidR="00142460">
        <w:t xml:space="preserve"> Skin doses </w:t>
      </w:r>
      <w:r w:rsidR="00854E06">
        <w:t xml:space="preserve">may need </w:t>
      </w:r>
      <w:r w:rsidR="00142460">
        <w:t>to be considered mainly in those cases of beta radionuclides for some specific scenarios.</w:t>
      </w:r>
    </w:p>
    <w:p w14:paraId="748EF4C1" w14:textId="05D457DF" w:rsidR="005A12F3" w:rsidRPr="00B264DF" w:rsidRDefault="00F05703" w:rsidP="005A12F3">
      <w:pPr>
        <w:pStyle w:val="ICRPnumberedparagraph"/>
        <w:numPr>
          <w:ilvl w:val="0"/>
          <w:numId w:val="13"/>
        </w:numPr>
        <w:tabs>
          <w:tab w:val="num" w:pos="630"/>
        </w:tabs>
        <w:ind w:left="0"/>
      </w:pPr>
      <w:r w:rsidRPr="00B264DF">
        <w:t xml:space="preserve">In contaminated areas, </w:t>
      </w:r>
      <w:r w:rsidR="00666792">
        <w:t xml:space="preserve">effective </w:t>
      </w:r>
      <w:r w:rsidRPr="00B264DF">
        <w:t xml:space="preserve">doses </w:t>
      </w:r>
      <w:r w:rsidR="00666792">
        <w:t xml:space="preserve">to the public </w:t>
      </w:r>
      <w:r w:rsidRPr="00B264DF">
        <w:t>are estimated using model</w:t>
      </w:r>
      <w:r w:rsidR="007B0928" w:rsidRPr="00B264DF">
        <w:t>l</w:t>
      </w:r>
      <w:r w:rsidRPr="00B264DF">
        <w:t>ed or measured activity concentrations in environment</w:t>
      </w:r>
      <w:r w:rsidR="008E0A38" w:rsidRPr="00B264DF">
        <w:t>al</w:t>
      </w:r>
      <w:r w:rsidRPr="00B264DF">
        <w:t xml:space="preserve"> media </w:t>
      </w:r>
      <w:r w:rsidR="006B31DB">
        <w:t>for</w:t>
      </w:r>
      <w:r w:rsidR="006B31DB" w:rsidRPr="00B264DF">
        <w:t xml:space="preserve"> </w:t>
      </w:r>
      <w:r w:rsidR="002D4048">
        <w:t>the</w:t>
      </w:r>
      <w:r w:rsidRPr="00B264DF">
        <w:t xml:space="preserve"> appropriate exposure scenario</w:t>
      </w:r>
      <w:r w:rsidR="002D4048">
        <w:t>s</w:t>
      </w:r>
      <w:r w:rsidRPr="00B264DF">
        <w:t>. The exposure scenario describes the habits and behavio</w:t>
      </w:r>
      <w:r w:rsidR="004E5126" w:rsidRPr="00B264DF">
        <w:t>u</w:t>
      </w:r>
      <w:r w:rsidRPr="00B264DF">
        <w:t xml:space="preserve">rs of hypothetical persons that determine inhalation and ingestion intakes of radionuclides, </w:t>
      </w:r>
      <w:r w:rsidR="00F2100C">
        <w:t xml:space="preserve">as well as the </w:t>
      </w:r>
      <w:r w:rsidRPr="00B264DF">
        <w:t xml:space="preserve">duration </w:t>
      </w:r>
      <w:r w:rsidR="006B31DB">
        <w:t xml:space="preserve">and levels </w:t>
      </w:r>
      <w:r w:rsidRPr="00B264DF">
        <w:t xml:space="preserve">of external exposures. The exposure scenario assumptions have a direct impact on the estimated dose to hypothetical individuals. Because </w:t>
      </w:r>
      <w:r w:rsidR="005F0362">
        <w:t xml:space="preserve">habits </w:t>
      </w:r>
      <w:r w:rsidRPr="00B264DF">
        <w:t xml:space="preserve">are variable </w:t>
      </w:r>
      <w:r w:rsidR="00212524" w:rsidRPr="00B264DF">
        <w:t xml:space="preserve">across </w:t>
      </w:r>
      <w:r w:rsidRPr="00B264DF">
        <w:t xml:space="preserve">a </w:t>
      </w:r>
      <w:r w:rsidR="00212524" w:rsidRPr="00B264DF">
        <w:t xml:space="preserve">given </w:t>
      </w:r>
      <w:r w:rsidRPr="00B264DF">
        <w:t xml:space="preserve">population, resulting in a distribution of doses, the Commission recommends </w:t>
      </w:r>
      <w:r w:rsidR="00C0355C">
        <w:t xml:space="preserve">that </w:t>
      </w:r>
      <w:r w:rsidRPr="00B264DF">
        <w:t>the values for these parameters be derived</w:t>
      </w:r>
      <w:r w:rsidR="00685042" w:rsidRPr="00B264DF">
        <w:t xml:space="preserve"> </w:t>
      </w:r>
      <w:r w:rsidRPr="00B264DF">
        <w:t xml:space="preserve">for the </w:t>
      </w:r>
      <w:r w:rsidR="00064132">
        <w:t>‘</w:t>
      </w:r>
      <w:r w:rsidR="00CF30DA">
        <w:t>r</w:t>
      </w:r>
      <w:r w:rsidRPr="00B264DF">
        <w:t xml:space="preserve">epresentative </w:t>
      </w:r>
      <w:r w:rsidR="00CF30DA">
        <w:t>p</w:t>
      </w:r>
      <w:r w:rsidRPr="00B264DF">
        <w:t>erson</w:t>
      </w:r>
      <w:r w:rsidR="00064132">
        <w:t>’</w:t>
      </w:r>
      <w:r w:rsidRPr="00B264DF">
        <w:t xml:space="preserve"> (ICRP, 2006</w:t>
      </w:r>
      <w:r w:rsidR="00ED6FAE">
        <w:t>a</w:t>
      </w:r>
      <w:r w:rsidRPr="00B264DF">
        <w:t>). The representative person may be hypothetical, but the habits (e.g. consumption of foodstuffs, breathing rate, location, usage of local resources) used to characteri</w:t>
      </w:r>
      <w:r w:rsidR="00A051AD" w:rsidRPr="00B264DF">
        <w:t>s</w:t>
      </w:r>
      <w:r w:rsidRPr="00B264DF">
        <w:t xml:space="preserve">e the representative person </w:t>
      </w:r>
      <w:r w:rsidR="00660ABC">
        <w:t>should be</w:t>
      </w:r>
      <w:r w:rsidRPr="00B264DF">
        <w:t xml:space="preserve"> typical habits of a small number of individuals representative of those most highly exposed and not the extreme habits of a single member of the population.</w:t>
      </w:r>
      <w:r w:rsidR="00A051AD" w:rsidRPr="00B264DF">
        <w:t xml:space="preserve"> The number of people exposed will also be relevant to the optimisation process. </w:t>
      </w:r>
      <w:r w:rsidR="00667655" w:rsidRPr="00B264DF">
        <w:t xml:space="preserve">The Commission also </w:t>
      </w:r>
      <w:r w:rsidR="00C57769" w:rsidRPr="00B264DF">
        <w:t>recogn</w:t>
      </w:r>
      <w:r w:rsidR="002D67F8">
        <w:t>is</w:t>
      </w:r>
      <w:r w:rsidR="00C57769" w:rsidRPr="00B264DF">
        <w:t>es the</w:t>
      </w:r>
      <w:r w:rsidR="00667655" w:rsidRPr="00B264DF">
        <w:t xml:space="preserve"> need to maintain biological diversity, ensure </w:t>
      </w:r>
      <w:r w:rsidR="006345C0">
        <w:t>species</w:t>
      </w:r>
      <w:r w:rsidR="00667655" w:rsidRPr="00B264DF">
        <w:t xml:space="preserve"> conservation, and protect the health and status of natural habitats, communities, and ecosystems (ICRP, 2007). The approach for </w:t>
      </w:r>
      <w:r w:rsidR="00BC3CD8">
        <w:t xml:space="preserve">radiological </w:t>
      </w:r>
      <w:r w:rsidR="00667655" w:rsidRPr="00B264DF">
        <w:t xml:space="preserve">protection of the environment developed by the Commission is described in </w:t>
      </w:r>
      <w:r w:rsidR="00474181" w:rsidRPr="00667C97">
        <w:rPr>
          <w:i/>
          <w:iCs/>
        </w:rPr>
        <w:t>P</w:t>
      </w:r>
      <w:r w:rsidR="000414CA" w:rsidRPr="00667C97">
        <w:rPr>
          <w:i/>
          <w:iCs/>
        </w:rPr>
        <w:t>ublications</w:t>
      </w:r>
      <w:r w:rsidR="00474181" w:rsidRPr="00667C97">
        <w:rPr>
          <w:i/>
          <w:iCs/>
        </w:rPr>
        <w:t xml:space="preserve"> 108 </w:t>
      </w:r>
      <w:r w:rsidR="00474181">
        <w:t xml:space="preserve">and </w:t>
      </w:r>
      <w:r w:rsidR="00474181" w:rsidRPr="00667C97">
        <w:rPr>
          <w:i/>
          <w:iCs/>
        </w:rPr>
        <w:t>124</w:t>
      </w:r>
      <w:r w:rsidR="000414CA" w:rsidRPr="00B264DF">
        <w:t xml:space="preserve"> </w:t>
      </w:r>
      <w:r w:rsidR="00667655" w:rsidRPr="00B264DF">
        <w:t>(ICRP, 200</w:t>
      </w:r>
      <w:r w:rsidR="004E47C8">
        <w:rPr>
          <w:rFonts w:hint="eastAsia"/>
        </w:rPr>
        <w:t>8</w:t>
      </w:r>
      <w:r w:rsidR="00667655" w:rsidRPr="00B264DF">
        <w:t>, 2014).</w:t>
      </w:r>
      <w:r w:rsidR="00C57769" w:rsidRPr="00B264DF">
        <w:t xml:space="preserve"> Potentially relevant scenarios and exposure pathways for non-human biota may be different from those considered in the context of human protection.</w:t>
      </w:r>
    </w:p>
    <w:p w14:paraId="33739356" w14:textId="21D3333F" w:rsidR="00797C13" w:rsidRPr="009F6388" w:rsidRDefault="00797C13" w:rsidP="008375F2">
      <w:pPr>
        <w:pStyle w:val="AnnalshdgB"/>
        <w:numPr>
          <w:ilvl w:val="1"/>
          <w:numId w:val="42"/>
        </w:numPr>
        <w:jc w:val="left"/>
        <w:rPr>
          <w:i w:val="0"/>
          <w:iCs w:val="0"/>
        </w:rPr>
      </w:pPr>
      <w:bookmarkStart w:id="28" w:name="_Toc117873824"/>
      <w:bookmarkStart w:id="29" w:name="_Toc159397465"/>
      <w:bookmarkStart w:id="30" w:name="_Toc166586803"/>
      <w:r w:rsidRPr="009F6388">
        <w:rPr>
          <w:i w:val="0"/>
          <w:iCs w:val="0"/>
        </w:rPr>
        <w:t>Overview of case studies</w:t>
      </w:r>
      <w:bookmarkEnd w:id="28"/>
      <w:bookmarkEnd w:id="29"/>
      <w:bookmarkEnd w:id="30"/>
    </w:p>
    <w:p w14:paraId="73E820B5" w14:textId="7EEFEB13" w:rsidR="00797C13" w:rsidRPr="00B264DF" w:rsidRDefault="0044375C" w:rsidP="000771AC">
      <w:pPr>
        <w:pStyle w:val="ICRPnumberedparagraph"/>
        <w:numPr>
          <w:ilvl w:val="0"/>
          <w:numId w:val="13"/>
        </w:numPr>
        <w:tabs>
          <w:tab w:val="num" w:pos="630"/>
        </w:tabs>
        <w:ind w:left="0"/>
      </w:pPr>
      <w:r>
        <w:t>Five case studies are provided as examples of contaminated site remedia</w:t>
      </w:r>
      <w:r w:rsidR="00EB6CED">
        <w:t>l actions. Summary information is provided</w:t>
      </w:r>
      <w:r w:rsidR="00412664">
        <w:t xml:space="preserve"> in Table 1. </w:t>
      </w:r>
      <w:r w:rsidR="00797C13" w:rsidRPr="00B264DF">
        <w:t>The first case study is the Rocky Flats Plant near Denver</w:t>
      </w:r>
      <w:r w:rsidR="00051E96">
        <w:t>,</w:t>
      </w:r>
      <w:r w:rsidR="00797C13" w:rsidRPr="00B264DF">
        <w:t xml:space="preserve"> Colorado</w:t>
      </w:r>
      <w:r w:rsidR="00051E96">
        <w:t>,</w:t>
      </w:r>
      <w:r w:rsidR="00797C13" w:rsidRPr="00B264DF">
        <w:t xml:space="preserve"> USA</w:t>
      </w:r>
      <w:r w:rsidR="004C30DE">
        <w:t>.</w:t>
      </w:r>
      <w:r w:rsidR="00797C13" w:rsidRPr="00B264DF">
        <w:t xml:space="preserve"> </w:t>
      </w:r>
      <w:r w:rsidR="004C30DE">
        <w:t>It</w:t>
      </w:r>
      <w:r w:rsidR="00797C13" w:rsidRPr="00B264DF">
        <w:t xml:space="preserve"> illustrates the stakeholder involvement process and prospective dose assessment </w:t>
      </w:r>
      <w:r w:rsidR="004C30DE">
        <w:t>(</w:t>
      </w:r>
      <w:r w:rsidR="00797C13" w:rsidRPr="00B264DF">
        <w:t>the land was and is unoccupied</w:t>
      </w:r>
      <w:r w:rsidR="004C30DE">
        <w:t>)</w:t>
      </w:r>
      <w:r w:rsidR="00797C13" w:rsidRPr="00B264DF">
        <w:t xml:space="preserve">. Rocky Flats was part of the United States government weapons production complex that produced plutonium pits for the fission triggers on thermonuclear weapons. The plant began operations in the 1950s and continued operations until 1989. Plutonium contamination in soil resulted from leaking barrels containing plutonium shavings, cutting oil, and degreasing agents. Suspension of the contaminated soil during high wind events resulted in the estimated release over time of 110 </w:t>
      </w:r>
      <w:proofErr w:type="spellStart"/>
      <w:r w:rsidR="00797C13" w:rsidRPr="00B264DF">
        <w:t>GBq</w:t>
      </w:r>
      <w:proofErr w:type="spellEnd"/>
      <w:r w:rsidR="00797C13" w:rsidRPr="00B264DF">
        <w:t xml:space="preserve"> of plutonium that was </w:t>
      </w:r>
      <w:r w:rsidR="009A4307">
        <w:t>primarily</w:t>
      </w:r>
      <w:r w:rsidR="00797C13" w:rsidRPr="00B264DF">
        <w:t xml:space="preserve"> deposited in the industrial area and the buffer zone surrounding the site. Soil concentrations exceeded 30,000 Bq kg</w:t>
      </w:r>
      <w:r w:rsidR="00064132">
        <w:rPr>
          <w:vertAlign w:val="superscript"/>
        </w:rPr>
        <w:t>−</w:t>
      </w:r>
      <w:r w:rsidR="00797C13" w:rsidRPr="00CC3F85">
        <w:rPr>
          <w:vertAlign w:val="superscript"/>
        </w:rPr>
        <w:t>1</w:t>
      </w:r>
      <w:r w:rsidR="00797C13" w:rsidRPr="00B264DF">
        <w:t xml:space="preserve"> in the industrial area where the barrels were stored and were as high as 185 Bq kg</w:t>
      </w:r>
      <w:r w:rsidR="00064132">
        <w:rPr>
          <w:vertAlign w:val="superscript"/>
        </w:rPr>
        <w:t>−</w:t>
      </w:r>
      <w:r w:rsidR="00797C13" w:rsidRPr="00CC3F85">
        <w:rPr>
          <w:vertAlign w:val="superscript"/>
        </w:rPr>
        <w:t>1</w:t>
      </w:r>
      <w:r w:rsidR="00797C13" w:rsidRPr="00B264DF">
        <w:t xml:space="preserve"> in the buffer zone. After </w:t>
      </w:r>
      <w:r w:rsidR="008D7E58">
        <w:t xml:space="preserve">the </w:t>
      </w:r>
      <w:r w:rsidR="00797C13" w:rsidRPr="00B264DF">
        <w:t xml:space="preserve">closure of the site, public concern was expressed about the plutonium contamination in the industrial area and buffer zone. </w:t>
      </w:r>
      <w:r w:rsidR="00797C13" w:rsidRPr="00500EA7">
        <w:t>An independent public</w:t>
      </w:r>
      <w:r w:rsidR="00797C13" w:rsidRPr="00B264DF">
        <w:t xml:space="preserve"> study was conducted to estimate the amount of plutonium that could remain in the soil to achieve an effective dose constraint</w:t>
      </w:r>
      <w:r w:rsidR="005922B8">
        <w:rPr>
          <w:rStyle w:val="a7"/>
        </w:rPr>
        <w:footnoteReference w:id="2"/>
      </w:r>
      <w:r w:rsidR="00064132">
        <w:t xml:space="preserve"> </w:t>
      </w:r>
      <w:r w:rsidR="00797C13" w:rsidRPr="00B264DF">
        <w:t>of 0.15 mSv per year for unrestricted use. The study included extensive stakeholder involvement in developing exposure scenarios and modelling assumptions. The study recommended a plutonium soil action level</w:t>
      </w:r>
      <w:r w:rsidR="003E1DA6">
        <w:rPr>
          <w:rStyle w:val="a7"/>
        </w:rPr>
        <w:footnoteReference w:id="3"/>
      </w:r>
      <w:r w:rsidR="00797C13" w:rsidRPr="00B264DF">
        <w:t xml:space="preserve"> of 1295 Bq kg</w:t>
      </w:r>
      <w:r w:rsidR="00064132">
        <w:rPr>
          <w:vertAlign w:val="superscript"/>
        </w:rPr>
        <w:t>−</w:t>
      </w:r>
      <w:r w:rsidR="00797C13" w:rsidRPr="00CC3F85">
        <w:rPr>
          <w:vertAlign w:val="superscript"/>
        </w:rPr>
        <w:t>1</w:t>
      </w:r>
      <w:r w:rsidR="00797C13" w:rsidRPr="00B264DF">
        <w:t xml:space="preserve"> for a dose constraint of 0.15 mSv</w:t>
      </w:r>
      <w:r w:rsidR="00506502">
        <w:t xml:space="preserve"> per year</w:t>
      </w:r>
      <w:r w:rsidR="00797C13" w:rsidRPr="00B264DF">
        <w:t xml:space="preserve">. These results were transmitted to the regulatory </w:t>
      </w:r>
      <w:r w:rsidR="00797C13" w:rsidRPr="00B264DF">
        <w:lastRenderedPageBreak/>
        <w:t>body, wh</w:t>
      </w:r>
      <w:r w:rsidR="00936B67">
        <w:t>ich</w:t>
      </w:r>
      <w:r w:rsidR="00797C13" w:rsidRPr="00B264DF">
        <w:t xml:space="preserve"> ultimately adopted a clean-up level of 1800 Bq </w:t>
      </w:r>
      <w:proofErr w:type="gramStart"/>
      <w:r w:rsidR="00797C13" w:rsidRPr="00B264DF">
        <w:t>kg</w:t>
      </w:r>
      <w:r w:rsidR="00064132">
        <w:rPr>
          <w:vertAlign w:val="superscript"/>
        </w:rPr>
        <w:t>−</w:t>
      </w:r>
      <w:r w:rsidR="00797C13" w:rsidRPr="00CC3F85">
        <w:rPr>
          <w:vertAlign w:val="superscript"/>
        </w:rPr>
        <w:t>1</w:t>
      </w:r>
      <w:proofErr w:type="gramEnd"/>
      <w:r w:rsidR="00797C13" w:rsidRPr="00B264DF">
        <w:t>. Based on stakeholder input and to reduce remediation costs, the former site was designated a wildlife refuge.</w:t>
      </w:r>
    </w:p>
    <w:p w14:paraId="2B3BB11F" w14:textId="010DF82D" w:rsidR="00797C13" w:rsidRPr="00B264DF" w:rsidRDefault="00797C13" w:rsidP="000771AC">
      <w:pPr>
        <w:pStyle w:val="ICRPnumberedparagraph"/>
        <w:numPr>
          <w:ilvl w:val="0"/>
          <w:numId w:val="13"/>
        </w:numPr>
        <w:tabs>
          <w:tab w:val="num" w:pos="630"/>
        </w:tabs>
        <w:ind w:left="0"/>
      </w:pPr>
      <w:r w:rsidRPr="00B264DF">
        <w:t>The second case study is the former above ground nuclear test site at Maralinga</w:t>
      </w:r>
      <w:r w:rsidR="00BD3472" w:rsidRPr="00B264DF">
        <w:t xml:space="preserve"> that cover</w:t>
      </w:r>
      <w:r w:rsidR="00B54D4E">
        <w:t>s</w:t>
      </w:r>
      <w:r w:rsidR="00BD3472" w:rsidRPr="00B264DF">
        <w:t xml:space="preserve"> about 3300 km</w:t>
      </w:r>
      <w:r w:rsidR="00BD3472" w:rsidRPr="00CC3F85">
        <w:rPr>
          <w:vertAlign w:val="superscript"/>
        </w:rPr>
        <w:t>2</w:t>
      </w:r>
      <w:r w:rsidRPr="00B264DF">
        <w:t xml:space="preserve"> in southern Australia</w:t>
      </w:r>
      <w:r w:rsidR="004C30DE">
        <w:t>. It</w:t>
      </w:r>
      <w:r w:rsidRPr="00B264DF">
        <w:t xml:space="preserve"> illustrates stakeholder involvement</w:t>
      </w:r>
      <w:r w:rsidR="004C30DE">
        <w:t xml:space="preserve"> process</w:t>
      </w:r>
      <w:r w:rsidRPr="00B264DF">
        <w:t xml:space="preserve">, setting of reference levels, </w:t>
      </w:r>
      <w:r w:rsidR="00D15685" w:rsidRPr="00B264DF">
        <w:t xml:space="preserve">and </w:t>
      </w:r>
      <w:r w:rsidRPr="00B264DF">
        <w:t xml:space="preserve">consideration of other factors besides dose in the remediation decision. </w:t>
      </w:r>
      <w:r w:rsidR="00BD3472" w:rsidRPr="00B264DF">
        <w:t>Major nuclear tests and about 600 minor trials were conducted from 1953 to 1963 and resulted in significant plutonium soil contamination within the test area.</w:t>
      </w:r>
      <w:r w:rsidRPr="00B264DF">
        <w:t xml:space="preserve"> In the 1980s, detailed studies of the Maralinga site indicated that earlier judgments and decisions about Maralinga and the need for remediation had been based on limited and deficient information. </w:t>
      </w:r>
      <w:r w:rsidR="00754C7F">
        <w:t>D</w:t>
      </w:r>
      <w:r w:rsidRPr="00B264DF">
        <w:t xml:space="preserve">etailed studies including land use practices and </w:t>
      </w:r>
      <w:r w:rsidR="0077572B">
        <w:t xml:space="preserve">the </w:t>
      </w:r>
      <w:r w:rsidRPr="00B264DF">
        <w:t>fate and transport of plutonium in the environment were begun</w:t>
      </w:r>
      <w:r w:rsidR="0077572B">
        <w:t xml:space="preserve"> in response</w:t>
      </w:r>
      <w:r w:rsidRPr="00B264DF">
        <w:t xml:space="preserve">. Local stakeholder involvement focused on the need to </w:t>
      </w:r>
      <w:r w:rsidR="005D2317" w:rsidRPr="00B264DF">
        <w:t xml:space="preserve">reduce </w:t>
      </w:r>
      <w:r w:rsidRPr="00B264DF">
        <w:t xml:space="preserve">annual doses </w:t>
      </w:r>
      <w:r w:rsidR="005D2317" w:rsidRPr="00B264DF">
        <w:t xml:space="preserve">while </w:t>
      </w:r>
      <w:r w:rsidR="003F1BED" w:rsidRPr="00B264DF">
        <w:t xml:space="preserve">restricting </w:t>
      </w:r>
      <w:r w:rsidRPr="00B264DF">
        <w:t xml:space="preserve">remediation activities that involved soil removal </w:t>
      </w:r>
      <w:r w:rsidR="005D2317" w:rsidRPr="00B264DF">
        <w:t xml:space="preserve">to avoid having </w:t>
      </w:r>
      <w:r w:rsidRPr="00B264DF">
        <w:t xml:space="preserve">a significant environmental and cultural impact on the population. Thus, a reference level of 5 mSv annual effective dose was adopted based on stakeholder input and the importance </w:t>
      </w:r>
      <w:r w:rsidR="00407D30">
        <w:t xml:space="preserve">of keeping </w:t>
      </w:r>
      <w:r w:rsidRPr="00B264DF">
        <w:t xml:space="preserve">as much of the environment undisturbed as practicable. </w:t>
      </w:r>
      <w:r w:rsidR="00F70E15">
        <w:t>A</w:t>
      </w:r>
      <w:r w:rsidRPr="00B264DF">
        <w:t xml:space="preserve"> combination of remediation and land use restrictions were implemented</w:t>
      </w:r>
      <w:r w:rsidR="00F70E15">
        <w:t xml:space="preserve"> using </w:t>
      </w:r>
      <w:r w:rsidR="00F70E15" w:rsidRPr="00F70E15">
        <w:t xml:space="preserve">the reference level of 5 mSv </w:t>
      </w:r>
      <w:r w:rsidR="00FD68EA">
        <w:t>annual</w:t>
      </w:r>
      <w:r w:rsidR="00F70E15" w:rsidRPr="00F70E15">
        <w:t xml:space="preserve"> effective dose</w:t>
      </w:r>
      <w:r w:rsidRPr="00B264DF">
        <w:t>.</w:t>
      </w:r>
      <w:bookmarkStart w:id="31" w:name="_Toc520125621"/>
      <w:bookmarkStart w:id="32" w:name="_Toc1125663"/>
    </w:p>
    <w:p w14:paraId="2C06C55C" w14:textId="6829A986" w:rsidR="00797C13" w:rsidRPr="00B264DF" w:rsidRDefault="00797C13" w:rsidP="000771AC">
      <w:pPr>
        <w:pStyle w:val="ICRPnumberedparagraph"/>
        <w:numPr>
          <w:ilvl w:val="0"/>
          <w:numId w:val="13"/>
        </w:numPr>
        <w:tabs>
          <w:tab w:val="num" w:pos="630"/>
        </w:tabs>
        <w:ind w:left="0"/>
      </w:pPr>
      <w:r w:rsidRPr="00B264DF">
        <w:t>The third case study is the remediation of radium contamination in the Swiss watch industry</w:t>
      </w:r>
      <w:r w:rsidR="004C30DE">
        <w:t>. It</w:t>
      </w:r>
      <w:r w:rsidRPr="00B264DF">
        <w:t xml:space="preserve"> illustrates </w:t>
      </w:r>
      <w:r w:rsidR="00654DE1">
        <w:t xml:space="preserve">the </w:t>
      </w:r>
      <w:r w:rsidRPr="00B264DF">
        <w:t xml:space="preserve">setting of reference levels </w:t>
      </w:r>
      <w:r w:rsidR="008225DC">
        <w:t>in</w:t>
      </w:r>
      <w:r w:rsidR="008225DC" w:rsidRPr="00B264DF">
        <w:t xml:space="preserve"> </w:t>
      </w:r>
      <w:r w:rsidRPr="00B264DF">
        <w:t>a contaminated area that was not primarily land. From 1920 to 1960, radium was used in watch dials for its luminescent properties until other materials became available. Watch dials were painted in workshops and homes, contaminati</w:t>
      </w:r>
      <w:r w:rsidR="00AF1EDF">
        <w:t>ng</w:t>
      </w:r>
      <w:r w:rsidRPr="00B264DF">
        <w:t xml:space="preserve"> an estimated 1000 individual areas. A government program administered by the Swiss Office of Public Health was established to identify and characterise sites with past contamination. The program involved surveys of sites identified by the </w:t>
      </w:r>
      <w:r w:rsidR="009D70E0">
        <w:t>local stakeholders</w:t>
      </w:r>
      <w:r w:rsidR="009D70E0" w:rsidRPr="00B264DF">
        <w:t xml:space="preserve"> </w:t>
      </w:r>
      <w:r w:rsidRPr="00B264DF">
        <w:t>as having possible contamination, followed by historical research and surveys of sites where radium might have been used.</w:t>
      </w:r>
      <w:r w:rsidR="00685042" w:rsidRPr="00B264DF">
        <w:t xml:space="preserve"> </w:t>
      </w:r>
      <w:r w:rsidRPr="00B264DF">
        <w:t xml:space="preserve">The remediation plan was to set a reference level of an annual effective dose </w:t>
      </w:r>
      <w:r w:rsidR="00E8246B">
        <w:t>of</w:t>
      </w:r>
      <w:r w:rsidRPr="00B264DF">
        <w:t xml:space="preserve"> 1 mSv or less. The program is currently ongoing.</w:t>
      </w:r>
    </w:p>
    <w:p w14:paraId="1ACE1EC2" w14:textId="3CCC938C" w:rsidR="00797C13" w:rsidRDefault="00797C13" w:rsidP="000771AC">
      <w:pPr>
        <w:pStyle w:val="ICRPnumberedparagraph"/>
        <w:numPr>
          <w:ilvl w:val="0"/>
          <w:numId w:val="13"/>
        </w:numPr>
        <w:tabs>
          <w:tab w:val="num" w:pos="630"/>
        </w:tabs>
        <w:ind w:left="0"/>
      </w:pPr>
      <w:r w:rsidRPr="00B264DF">
        <w:t xml:space="preserve">The fourth case study is the Techa </w:t>
      </w:r>
      <w:r w:rsidR="00DA7C22">
        <w:t>R</w:t>
      </w:r>
      <w:r w:rsidRPr="00B264DF">
        <w:t xml:space="preserve">iver </w:t>
      </w:r>
      <w:r w:rsidR="00D33A4A" w:rsidRPr="00B264DF">
        <w:t xml:space="preserve">area </w:t>
      </w:r>
      <w:r w:rsidRPr="00B264DF">
        <w:t xml:space="preserve">in the Chelyabinsk Region of the Ural Mountains in the former Soviet Union, which is now in the Russian Federation. It illustrates a complex site where past, present, and future exposures need to be considered, along with evaluation of radionuclide transport and land use restrictions. Beginning in 1948, graphite-moderated reactors at the Mayak facility produced plutonium for the </w:t>
      </w:r>
      <w:r w:rsidR="00516D22" w:rsidRPr="00516D22">
        <w:t xml:space="preserve">Union of Soviet Socialist Republics </w:t>
      </w:r>
      <w:r w:rsidR="00516D22">
        <w:t>(</w:t>
      </w:r>
      <w:r w:rsidRPr="00B264DF">
        <w:t>USSR</w:t>
      </w:r>
      <w:r w:rsidR="00516D22">
        <w:t>)</w:t>
      </w:r>
      <w:r w:rsidRPr="00B264DF">
        <w:t xml:space="preserve"> weapons program. Plutonium chemical separation facilities at Mayak generated liquid radioactive waste containing a mixture of fission products</w:t>
      </w:r>
      <w:r w:rsidR="00685042" w:rsidRPr="00B264DF">
        <w:t xml:space="preserve"> </w:t>
      </w:r>
      <w:r w:rsidRPr="00B264DF">
        <w:t xml:space="preserve">including </w:t>
      </w:r>
      <w:r w:rsidRPr="00CC3F85">
        <w:rPr>
          <w:vertAlign w:val="superscript"/>
        </w:rPr>
        <w:t>90</w:t>
      </w:r>
      <w:r w:rsidRPr="00B264DF">
        <w:t xml:space="preserve">Sr and </w:t>
      </w:r>
      <w:r w:rsidRPr="00CC3F85">
        <w:rPr>
          <w:vertAlign w:val="superscript"/>
        </w:rPr>
        <w:t>137</w:t>
      </w:r>
      <w:r w:rsidRPr="00B264DF">
        <w:t xml:space="preserve">Cs. Authorised and accidental releases of liquid waste to the Techa </w:t>
      </w:r>
      <w:r w:rsidR="0091627F">
        <w:t>Ri</w:t>
      </w:r>
      <w:r w:rsidRPr="00B264DF">
        <w:t>ver from 1949 to about 1956 resulted in the release of approximately 115 PBq of activity to the river. Releases into the Techa River resulted in contamination through its entire 240 km length</w:t>
      </w:r>
      <w:r w:rsidR="00FB5ADF">
        <w:t xml:space="preserve"> and</w:t>
      </w:r>
      <w:r w:rsidRPr="00B264DF">
        <w:t xml:space="preserve"> contamination of part of the Iset River where the Techa River inflows. </w:t>
      </w:r>
      <w:r w:rsidR="005E7E8A">
        <w:t>This has led to</w:t>
      </w:r>
      <w:r w:rsidRPr="00B264DF">
        <w:t xml:space="preserve"> actual exposure of the population, fluvial transport of the existing contamination, and large-scale remedial </w:t>
      </w:r>
      <w:r w:rsidR="002D4048">
        <w:t>actions</w:t>
      </w:r>
      <w:r w:rsidRPr="00B264DF">
        <w:t xml:space="preserve"> intended to limit the future migration of existing contamination. The aim is to reduce doses to persons living near the river and exposures to individuals in the future. In 1951, external exposure rates on the banks of the Techa </w:t>
      </w:r>
      <w:r w:rsidR="00017B87">
        <w:t>R</w:t>
      </w:r>
      <w:r w:rsidRPr="00B264DF">
        <w:t xml:space="preserve">iver in the town of </w:t>
      </w:r>
      <w:proofErr w:type="spellStart"/>
      <w:r w:rsidRPr="00B264DF">
        <w:t>Metlino</w:t>
      </w:r>
      <w:proofErr w:type="spellEnd"/>
      <w:r w:rsidRPr="00B264DF">
        <w:t xml:space="preserve"> (7 km downstream of Mayak) w</w:t>
      </w:r>
      <w:r w:rsidR="00017B87">
        <w:t>ere</w:t>
      </w:r>
      <w:r w:rsidRPr="00B264DF">
        <w:t xml:space="preserve"> on average 1.5–2.0 mGy h</w:t>
      </w:r>
      <w:r w:rsidR="000A6142">
        <w:rPr>
          <w:vertAlign w:val="superscript"/>
        </w:rPr>
        <w:t>−</w:t>
      </w:r>
      <w:r w:rsidRPr="00CC3F85">
        <w:rPr>
          <w:vertAlign w:val="superscript"/>
        </w:rPr>
        <w:t>1</w:t>
      </w:r>
      <w:r w:rsidRPr="00B264DF">
        <w:t xml:space="preserve">(about 15,000 times background). Contaminated river water used as drinking water and consumption of fish from the river resulted in large internal doses. </w:t>
      </w:r>
      <w:r w:rsidR="002D4048">
        <w:t>Remedial actions</w:t>
      </w:r>
      <w:r w:rsidRPr="00B264DF">
        <w:t xml:space="preserve"> applied since 1951 to </w:t>
      </w:r>
      <w:r w:rsidR="0053146D">
        <w:t>reduce</w:t>
      </w:r>
      <w:r w:rsidR="0053146D" w:rsidRPr="00B264DF">
        <w:t xml:space="preserve"> </w:t>
      </w:r>
      <w:r w:rsidRPr="00B264DF">
        <w:t>doses to the public</w:t>
      </w:r>
      <w:r w:rsidR="000A7802">
        <w:t xml:space="preserve"> have</w:t>
      </w:r>
      <w:r w:rsidRPr="00B264DF">
        <w:t xml:space="preserve"> included technology improvements to decrease radionuclide releases into the environment, relocation of residents from highly contaminated areas, and restrictions on land use. </w:t>
      </w:r>
      <w:r w:rsidR="009D70E0">
        <w:t xml:space="preserve">When discharges were occurring, people </w:t>
      </w:r>
      <w:r w:rsidRPr="00B264DF">
        <w:t xml:space="preserve">exposed to Techa </w:t>
      </w:r>
      <w:r w:rsidR="00E966F5">
        <w:t>R</w:t>
      </w:r>
      <w:r w:rsidRPr="00B264DF">
        <w:t xml:space="preserve">iver contamination were neither notified about radiation exposure nor involved in the process of developing remediation options. The exposure situation </w:t>
      </w:r>
      <w:r w:rsidRPr="00B264DF">
        <w:lastRenderedPageBreak/>
        <w:t xml:space="preserve">at Techa </w:t>
      </w:r>
      <w:r w:rsidR="000A6142">
        <w:t>R</w:t>
      </w:r>
      <w:r w:rsidRPr="00B264DF">
        <w:t>iver was not reported by the press until the end of the 1980s. The focus of the current program implemented by the Russian Federation is the prevention of further migration of contamination, remediation and monitoring of contaminated lands, and long-term medical monitoring of the exposed population.</w:t>
      </w:r>
      <w:r w:rsidR="00BD3472" w:rsidRPr="00B264DF">
        <w:t xml:space="preserve"> Consideration has also been given to the possible impacts on </w:t>
      </w:r>
      <w:r w:rsidR="00261890">
        <w:t xml:space="preserve">non-human </w:t>
      </w:r>
      <w:r w:rsidR="00BD3472" w:rsidRPr="00B264DF">
        <w:t xml:space="preserve">biota living in the Techa </w:t>
      </w:r>
      <w:r w:rsidR="000A6142">
        <w:t>R</w:t>
      </w:r>
      <w:r w:rsidR="00BD3472" w:rsidRPr="00B264DF">
        <w:t>iver (Shishkina et al</w:t>
      </w:r>
      <w:r w:rsidR="00345BAC">
        <w:t>.</w:t>
      </w:r>
      <w:r w:rsidR="00BD3472" w:rsidRPr="00B264DF">
        <w:t>, 2019).</w:t>
      </w:r>
    </w:p>
    <w:p w14:paraId="4A6E8D40" w14:textId="2EBFC229" w:rsidR="00A43619" w:rsidRDefault="00B77CE1" w:rsidP="00667C97">
      <w:pPr>
        <w:pStyle w:val="ICRPnumberedparagraph"/>
        <w:numPr>
          <w:ilvl w:val="0"/>
          <w:numId w:val="13"/>
        </w:numPr>
        <w:tabs>
          <w:tab w:val="num" w:pos="630"/>
        </w:tabs>
        <w:ind w:left="0"/>
      </w:pPr>
      <w:r w:rsidRPr="00B264DF">
        <w:t xml:space="preserve">The </w:t>
      </w:r>
      <w:r w:rsidR="00E42C79">
        <w:t xml:space="preserve">fifth </w:t>
      </w:r>
      <w:r w:rsidRPr="00B264DF">
        <w:t>case</w:t>
      </w:r>
      <w:r w:rsidR="00D10337">
        <w:t xml:space="preserve"> study</w:t>
      </w:r>
      <w:r w:rsidRPr="00B264DF">
        <w:t xml:space="preserve"> involves </w:t>
      </w:r>
      <w:r w:rsidRPr="002A361A">
        <w:rPr>
          <w:vertAlign w:val="superscript"/>
        </w:rPr>
        <w:t>226</w:t>
      </w:r>
      <w:r w:rsidRPr="00B264DF">
        <w:t xml:space="preserve">Ra contamination from a former </w:t>
      </w:r>
      <w:r w:rsidR="00F84840" w:rsidRPr="00B264DF">
        <w:t>airfield and</w:t>
      </w:r>
      <w:r w:rsidR="00D624A4" w:rsidRPr="00B264DF">
        <w:t xml:space="preserve"> </w:t>
      </w:r>
      <w:r w:rsidRPr="00B264DF">
        <w:t xml:space="preserve">aircraft servicing </w:t>
      </w:r>
      <w:r w:rsidR="00D624A4" w:rsidRPr="00B264DF">
        <w:t xml:space="preserve">base </w:t>
      </w:r>
      <w:r w:rsidRPr="00B264DF">
        <w:t xml:space="preserve">that operated from 1917 to </w:t>
      </w:r>
      <w:r w:rsidR="00D624A4" w:rsidRPr="00B264DF">
        <w:t xml:space="preserve">1959 </w:t>
      </w:r>
      <w:r w:rsidRPr="00B264DF">
        <w:t>in Dalgety Bay</w:t>
      </w:r>
      <w:r w:rsidR="00D624A4" w:rsidRPr="00B264DF">
        <w:t>,</w:t>
      </w:r>
      <w:r w:rsidRPr="00B264DF">
        <w:t xml:space="preserve"> Scotland</w:t>
      </w:r>
      <w:r w:rsidR="00336DC4">
        <w:t>,</w:t>
      </w:r>
      <w:r w:rsidRPr="00B264DF">
        <w:t xml:space="preserve"> UK. </w:t>
      </w:r>
      <w:r w:rsidR="00D624A4" w:rsidRPr="00B264DF">
        <w:t xml:space="preserve">Activities at the airfield are known to have included the </w:t>
      </w:r>
      <w:proofErr w:type="spellStart"/>
      <w:r w:rsidR="00D624A4" w:rsidRPr="00B264DF">
        <w:t>luminising</w:t>
      </w:r>
      <w:proofErr w:type="spellEnd"/>
      <w:r w:rsidR="00D624A4" w:rsidRPr="00B264DF">
        <w:t xml:space="preserve"> and servicing of aircraft components using paint containing radium, as well as the incineration and disposal of solid wastes from the dismantling of retired aircraft</w:t>
      </w:r>
      <w:r w:rsidR="007F740F" w:rsidRPr="00B264DF">
        <w:t xml:space="preserve">. </w:t>
      </w:r>
      <w:r w:rsidR="00881B5E" w:rsidRPr="00B264DF">
        <w:t xml:space="preserve">Solid waste disposal </w:t>
      </w:r>
      <w:r w:rsidR="00D624A4" w:rsidRPr="00B264DF">
        <w:t xml:space="preserve">from these activities </w:t>
      </w:r>
      <w:r w:rsidR="00881B5E" w:rsidRPr="00B264DF">
        <w:t xml:space="preserve">resulted </w:t>
      </w:r>
      <w:r w:rsidR="00093CED" w:rsidRPr="00B264DF">
        <w:t>i</w:t>
      </w:r>
      <w:r w:rsidR="00881B5E" w:rsidRPr="00B264DF">
        <w:t xml:space="preserve">n </w:t>
      </w:r>
      <w:r w:rsidR="00881B5E" w:rsidRPr="00CC3F85">
        <w:t>contamination of the land</w:t>
      </w:r>
      <w:r w:rsidR="004C46D1" w:rsidRPr="0011734B">
        <w:t xml:space="preserve">. Erosion has led to contamination of the </w:t>
      </w:r>
      <w:r w:rsidR="00881B5E" w:rsidRPr="00CC3F85">
        <w:t>adjacent beach</w:t>
      </w:r>
      <w:r w:rsidR="00FF3FF5">
        <w:t xml:space="preserve"> and</w:t>
      </w:r>
      <w:r w:rsidR="004C46D1">
        <w:t xml:space="preserve">, through coastal processes, </w:t>
      </w:r>
      <w:r w:rsidR="00FF3FF5">
        <w:t>the sediments in Dalgety Bay</w:t>
      </w:r>
      <w:r w:rsidR="00BC61BF" w:rsidRPr="00B264DF">
        <w:t>.</w:t>
      </w:r>
      <w:r w:rsidR="00881B5E" w:rsidRPr="00B264DF">
        <w:t xml:space="preserve"> </w:t>
      </w:r>
      <w:r w:rsidR="004917DC" w:rsidRPr="00B264DF">
        <w:t xml:space="preserve">Discrete particles of </w:t>
      </w:r>
      <w:r w:rsidR="004917DC" w:rsidRPr="00E42C79">
        <w:rPr>
          <w:vertAlign w:val="superscript"/>
        </w:rPr>
        <w:t>226</w:t>
      </w:r>
      <w:r w:rsidR="004917DC" w:rsidRPr="00B264DF">
        <w:t>Ra w</w:t>
      </w:r>
      <w:r w:rsidR="00151EE9" w:rsidRPr="00B264DF">
        <w:t>ere</w:t>
      </w:r>
      <w:r w:rsidR="004917DC" w:rsidRPr="00B264DF">
        <w:t xml:space="preserve"> first discovered on the beach at Dalgety Bay in 1990, resulting in episodic monitoring and assessment of the site until 2011, when the detection of particles in greater numbers and of higher activities prompted more detailed investigation.</w:t>
      </w:r>
      <w:r w:rsidRPr="00B264DF">
        <w:t xml:space="preserve"> </w:t>
      </w:r>
      <w:r w:rsidR="00151EE9" w:rsidRPr="00B264DF">
        <w:t>P</w:t>
      </w:r>
      <w:r w:rsidR="004917DC" w:rsidRPr="00B264DF">
        <w:t xml:space="preserve">articles </w:t>
      </w:r>
      <w:r w:rsidR="000F04B3">
        <w:t>were</w:t>
      </w:r>
      <w:r w:rsidR="000F04B3" w:rsidRPr="00B264DF">
        <w:t xml:space="preserve"> </w:t>
      </w:r>
      <w:r w:rsidR="004917DC" w:rsidRPr="00B264DF">
        <w:t xml:space="preserve">heterogeneously distributed with some </w:t>
      </w:r>
      <w:r w:rsidR="00D7447E">
        <w:t xml:space="preserve">being </w:t>
      </w:r>
      <w:r w:rsidR="004917DC" w:rsidRPr="00B264DF">
        <w:t>detected on the surface of the beach, and others at varying depths in the sediment</w:t>
      </w:r>
      <w:r w:rsidR="00151EE9" w:rsidRPr="00B264DF">
        <w:t>.</w:t>
      </w:r>
      <w:r w:rsidR="00F41BBE" w:rsidRPr="00B264DF">
        <w:t xml:space="preserve"> </w:t>
      </w:r>
      <w:r w:rsidR="00A80A33">
        <w:t xml:space="preserve">Due to the nature of the contamination, the probability that an exposure occurs </w:t>
      </w:r>
      <w:r w:rsidR="00C126AA">
        <w:t xml:space="preserve">was </w:t>
      </w:r>
      <w:r w:rsidR="00A80A33">
        <w:t>substantially</w:t>
      </w:r>
      <w:r w:rsidR="004C5585">
        <w:t xml:space="preserve"> </w:t>
      </w:r>
      <w:r w:rsidR="00A80A33">
        <w:t>less than unity. Consequently, both the probability of</w:t>
      </w:r>
      <w:r w:rsidR="004C5585">
        <w:t xml:space="preserve"> </w:t>
      </w:r>
      <w:r w:rsidR="00A80A33">
        <w:t>an exposure occurring as well as the consequences</w:t>
      </w:r>
      <w:r w:rsidR="004C5585">
        <w:t xml:space="preserve"> </w:t>
      </w:r>
      <w:r w:rsidR="00A80A33">
        <w:t xml:space="preserve">of such an exposure if it were to occur </w:t>
      </w:r>
      <w:r w:rsidR="00C22123">
        <w:t>were</w:t>
      </w:r>
      <w:r w:rsidR="00A80A33">
        <w:t xml:space="preserve"> assessed.</w:t>
      </w:r>
      <w:r w:rsidR="00A80A33" w:rsidRPr="00B264DF" w:rsidDel="004D3E94">
        <w:t xml:space="preserve"> </w:t>
      </w:r>
      <w:r w:rsidR="005B7683" w:rsidRPr="000429F0">
        <w:t>Stakeholder involvement</w:t>
      </w:r>
      <w:r w:rsidR="00396F15" w:rsidRPr="000429F0">
        <w:t xml:space="preserve"> </w:t>
      </w:r>
      <w:r w:rsidR="005B7683" w:rsidRPr="000429F0">
        <w:t>included engagement with the UK Ministry of Defence, Dalgety Bay Community Council, vario</w:t>
      </w:r>
      <w:r w:rsidR="00AD318A" w:rsidRPr="000429F0">
        <w:t>u</w:t>
      </w:r>
      <w:r w:rsidR="005B7683" w:rsidRPr="000429F0">
        <w:t xml:space="preserve">s advisory groups, and local government. </w:t>
      </w:r>
      <w:r w:rsidR="00AB4C4A" w:rsidRPr="000429F0">
        <w:t>V</w:t>
      </w:r>
      <w:r w:rsidR="005B7683" w:rsidRPr="000429F0">
        <w:t xml:space="preserve">arious public </w:t>
      </w:r>
      <w:r w:rsidR="00BB76B3" w:rsidRPr="000429F0">
        <w:t>protective actions</w:t>
      </w:r>
      <w:r w:rsidR="005B7683" w:rsidRPr="000429F0">
        <w:t xml:space="preserve"> </w:t>
      </w:r>
      <w:r w:rsidR="00C611F2">
        <w:t>were</w:t>
      </w:r>
      <w:r w:rsidR="005B7683" w:rsidRPr="000429F0">
        <w:t xml:space="preserve"> introduced </w:t>
      </w:r>
      <w:r w:rsidR="00774E6C" w:rsidRPr="000429F0">
        <w:t xml:space="preserve">by the relevant authorities </w:t>
      </w:r>
      <w:r w:rsidR="005B7683" w:rsidRPr="000429F0">
        <w:t>whilst the work to characterise, assess, and remediate the site</w:t>
      </w:r>
      <w:r w:rsidR="00AB4C4A" w:rsidRPr="000429F0">
        <w:t xml:space="preserve"> </w:t>
      </w:r>
      <w:r w:rsidR="00C611F2">
        <w:t>progressed</w:t>
      </w:r>
      <w:r w:rsidR="005B7683" w:rsidRPr="000429F0">
        <w:t>.</w:t>
      </w:r>
      <w:r w:rsidR="00A43619">
        <w:br w:type="page"/>
      </w:r>
    </w:p>
    <w:p w14:paraId="4E7A3CA6" w14:textId="77777777" w:rsidR="00570A81" w:rsidRDefault="00570A81" w:rsidP="00667C97">
      <w:pPr>
        <w:sectPr w:rsidR="00570A81" w:rsidSect="00F24E82">
          <w:headerReference w:type="even" r:id="rId18"/>
          <w:headerReference w:type="default" r:id="rId19"/>
          <w:footerReference w:type="even" r:id="rId20"/>
          <w:footerReference w:type="default" r:id="rId21"/>
          <w:headerReference w:type="first" r:id="rId22"/>
          <w:footerReference w:type="first" r:id="rId23"/>
          <w:pgSz w:w="11907" w:h="16840" w:code="9"/>
          <w:pgMar w:top="1440" w:right="1440" w:bottom="1440" w:left="1440" w:header="720" w:footer="720" w:gutter="0"/>
          <w:lnNumType w:countBy="1" w:restart="continuous"/>
          <w:cols w:space="720"/>
          <w:noEndnote/>
          <w:docGrid w:linePitch="326"/>
        </w:sectPr>
      </w:pPr>
    </w:p>
    <w:p w14:paraId="56188A07" w14:textId="1D1C7DF5" w:rsidR="00207090" w:rsidRPr="00116328" w:rsidRDefault="00116328" w:rsidP="00F630C4">
      <w:pPr>
        <w:pStyle w:val="Annalstext"/>
        <w:rPr>
          <w:b/>
          <w:bCs/>
        </w:rPr>
      </w:pPr>
      <w:bookmarkStart w:id="33" w:name="_Toc117873825"/>
      <w:bookmarkStart w:id="34" w:name="_Toc159397466"/>
      <w:r w:rsidRPr="00FE17F7">
        <w:lastRenderedPageBreak/>
        <w:t xml:space="preserve">Table 1. </w:t>
      </w:r>
      <w:r w:rsidR="009C6D42" w:rsidRPr="009C6D42">
        <w:t>Comparison of key parameters in the case studies</w:t>
      </w:r>
    </w:p>
    <w:tbl>
      <w:tblPr>
        <w:tblStyle w:val="af2"/>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1304"/>
        <w:gridCol w:w="1924"/>
        <w:gridCol w:w="2192"/>
        <w:gridCol w:w="1932"/>
        <w:gridCol w:w="2577"/>
        <w:gridCol w:w="2102"/>
        <w:gridCol w:w="1929"/>
      </w:tblGrid>
      <w:tr w:rsidR="00D915DD" w:rsidRPr="009C6D42" w14:paraId="3F263EAF" w14:textId="77777777" w:rsidTr="00046707">
        <w:tc>
          <w:tcPr>
            <w:tcW w:w="467" w:type="pct"/>
            <w:tcBorders>
              <w:bottom w:val="single" w:sz="4" w:space="0" w:color="auto"/>
            </w:tcBorders>
            <w:vAlign w:val="bottom"/>
          </w:tcPr>
          <w:p w14:paraId="0032B7F7" w14:textId="77777777" w:rsidR="00D915DD" w:rsidRPr="009C6D42" w:rsidRDefault="00D915DD" w:rsidP="00046707">
            <w:r w:rsidRPr="009C6D42">
              <w:rPr>
                <w:noProof/>
                <w:lang w:val="es-AR" w:eastAsia="es-AR"/>
              </w:rPr>
              <w:t>Case Study</w:t>
            </w:r>
          </w:p>
        </w:tc>
        <w:tc>
          <w:tcPr>
            <w:tcW w:w="689" w:type="pct"/>
            <w:tcBorders>
              <w:bottom w:val="single" w:sz="4" w:space="0" w:color="auto"/>
            </w:tcBorders>
            <w:vAlign w:val="bottom"/>
          </w:tcPr>
          <w:p w14:paraId="34C826AB" w14:textId="77777777" w:rsidR="00D915DD" w:rsidRPr="009C6D42" w:rsidRDefault="00D915DD" w:rsidP="00046707">
            <w:r w:rsidRPr="009C6D42">
              <w:rPr>
                <w:noProof/>
                <w:lang w:val="es-AR" w:eastAsia="es-AR"/>
              </w:rPr>
              <w:t>Radionuclides of concern</w:t>
            </w:r>
          </w:p>
        </w:tc>
        <w:tc>
          <w:tcPr>
            <w:tcW w:w="785" w:type="pct"/>
            <w:tcBorders>
              <w:bottom w:val="single" w:sz="4" w:space="0" w:color="auto"/>
            </w:tcBorders>
            <w:vAlign w:val="bottom"/>
          </w:tcPr>
          <w:p w14:paraId="7D8040D7" w14:textId="77777777" w:rsidR="00D915DD" w:rsidRPr="009C6D42" w:rsidRDefault="00D915DD" w:rsidP="00046707">
            <w:r w:rsidRPr="009C6D42">
              <w:rPr>
                <w:noProof/>
                <w:lang w:val="es-AR" w:eastAsia="es-AR"/>
              </w:rPr>
              <w:t>Primary exposure pathway(s)</w:t>
            </w:r>
          </w:p>
        </w:tc>
        <w:tc>
          <w:tcPr>
            <w:tcW w:w="692" w:type="pct"/>
            <w:tcBorders>
              <w:bottom w:val="single" w:sz="4" w:space="0" w:color="auto"/>
            </w:tcBorders>
            <w:vAlign w:val="bottom"/>
          </w:tcPr>
          <w:p w14:paraId="3C4474B6" w14:textId="77777777" w:rsidR="00D915DD" w:rsidRPr="009C6D42" w:rsidRDefault="00D915DD" w:rsidP="00046707">
            <w:r w:rsidRPr="009C6D42">
              <w:rPr>
                <w:noProof/>
                <w:lang w:val="es-AR" w:eastAsia="es-AR"/>
              </w:rPr>
              <w:t>Levels of contamination</w:t>
            </w:r>
          </w:p>
        </w:tc>
        <w:tc>
          <w:tcPr>
            <w:tcW w:w="923" w:type="pct"/>
            <w:tcBorders>
              <w:bottom w:val="single" w:sz="4" w:space="0" w:color="auto"/>
            </w:tcBorders>
            <w:vAlign w:val="bottom"/>
          </w:tcPr>
          <w:p w14:paraId="293E46A8" w14:textId="3D11E978" w:rsidR="00D915DD" w:rsidRPr="009C6D42" w:rsidRDefault="00D915DD" w:rsidP="00046707">
            <w:r w:rsidRPr="009C6D42">
              <w:rPr>
                <w:noProof/>
                <w:lang w:val="es-AR" w:eastAsia="es-AR"/>
              </w:rPr>
              <w:t>Reference Level (R</w:t>
            </w:r>
            <w:r w:rsidR="00965F76">
              <w:rPr>
                <w:noProof/>
                <w:lang w:val="es-AR" w:eastAsia="es-AR"/>
              </w:rPr>
              <w:t>L</w:t>
            </w:r>
            <w:r w:rsidRPr="009C6D42">
              <w:rPr>
                <w:noProof/>
                <w:lang w:val="es-AR" w:eastAsia="es-AR"/>
              </w:rPr>
              <w:t>) or Remediation Goal (RG)</w:t>
            </w:r>
          </w:p>
        </w:tc>
        <w:tc>
          <w:tcPr>
            <w:tcW w:w="753" w:type="pct"/>
            <w:tcBorders>
              <w:bottom w:val="single" w:sz="4" w:space="0" w:color="auto"/>
            </w:tcBorders>
            <w:vAlign w:val="bottom"/>
          </w:tcPr>
          <w:p w14:paraId="55295B05" w14:textId="77777777" w:rsidR="00D915DD" w:rsidRPr="009C6D42" w:rsidRDefault="00D915DD" w:rsidP="00046707">
            <w:r w:rsidRPr="009C6D42">
              <w:rPr>
                <w:noProof/>
                <w:lang w:val="es-AR" w:eastAsia="es-AR"/>
              </w:rPr>
              <w:t>Size of affected area</w:t>
            </w:r>
          </w:p>
        </w:tc>
        <w:tc>
          <w:tcPr>
            <w:tcW w:w="692" w:type="pct"/>
            <w:tcBorders>
              <w:bottom w:val="single" w:sz="4" w:space="0" w:color="auto"/>
            </w:tcBorders>
            <w:vAlign w:val="bottom"/>
          </w:tcPr>
          <w:p w14:paraId="2E95AD4D" w14:textId="77777777" w:rsidR="00D915DD" w:rsidRPr="009C6D42" w:rsidRDefault="00D915DD" w:rsidP="00046707">
            <w:r w:rsidRPr="009C6D42">
              <w:rPr>
                <w:noProof/>
                <w:lang w:val="es-AR" w:eastAsia="es-AR"/>
              </w:rPr>
              <w:t>Post-Remediation Land Use</w:t>
            </w:r>
          </w:p>
        </w:tc>
      </w:tr>
      <w:tr w:rsidR="00D915DD" w:rsidRPr="009C6D42" w14:paraId="1DC8F42F" w14:textId="77777777" w:rsidTr="00046707">
        <w:tc>
          <w:tcPr>
            <w:tcW w:w="467" w:type="pct"/>
            <w:tcBorders>
              <w:bottom w:val="nil"/>
            </w:tcBorders>
          </w:tcPr>
          <w:p w14:paraId="393FA600" w14:textId="77777777" w:rsidR="00D915DD" w:rsidRPr="009C6D42" w:rsidRDefault="00D915DD" w:rsidP="00046707">
            <w:pPr>
              <w:spacing w:after="120"/>
            </w:pPr>
            <w:r w:rsidRPr="009C6D42">
              <w:rPr>
                <w:noProof/>
                <w:lang w:val="es-AR" w:eastAsia="es-AR"/>
              </w:rPr>
              <w:t>Rock Flats, USA</w:t>
            </w:r>
          </w:p>
        </w:tc>
        <w:tc>
          <w:tcPr>
            <w:tcW w:w="689" w:type="pct"/>
            <w:tcBorders>
              <w:bottom w:val="nil"/>
            </w:tcBorders>
          </w:tcPr>
          <w:p w14:paraId="59D03374" w14:textId="77777777" w:rsidR="00D915DD" w:rsidRPr="009C6D42" w:rsidRDefault="00D915DD" w:rsidP="00046707">
            <w:pPr>
              <w:spacing w:after="120"/>
            </w:pPr>
            <w:r w:rsidRPr="009C6D42">
              <w:rPr>
                <w:noProof/>
                <w:lang w:val="es-AR" w:eastAsia="es-AR"/>
              </w:rPr>
              <w:t>Pu-239</w:t>
            </w:r>
          </w:p>
        </w:tc>
        <w:tc>
          <w:tcPr>
            <w:tcW w:w="785" w:type="pct"/>
            <w:tcBorders>
              <w:bottom w:val="nil"/>
            </w:tcBorders>
          </w:tcPr>
          <w:p w14:paraId="2352C0BC" w14:textId="77777777" w:rsidR="00D915DD" w:rsidRPr="009C6D42" w:rsidRDefault="00D915DD" w:rsidP="00046707">
            <w:pPr>
              <w:spacing w:after="120"/>
            </w:pPr>
            <w:r w:rsidRPr="009C6D42">
              <w:rPr>
                <w:noProof/>
                <w:lang w:val="es-AR" w:eastAsia="es-AR"/>
              </w:rPr>
              <w:t>Dust inhalation</w:t>
            </w:r>
          </w:p>
        </w:tc>
        <w:tc>
          <w:tcPr>
            <w:tcW w:w="692" w:type="pct"/>
            <w:tcBorders>
              <w:bottom w:val="nil"/>
            </w:tcBorders>
          </w:tcPr>
          <w:p w14:paraId="38B8ACBC" w14:textId="77777777" w:rsidR="00D915DD" w:rsidRPr="009C6D42" w:rsidRDefault="00D915DD" w:rsidP="00046707">
            <w:pPr>
              <w:spacing w:after="120"/>
            </w:pPr>
            <w:r w:rsidRPr="009C6D42">
              <w:rPr>
                <w:noProof/>
                <w:lang w:val="es-AR" w:eastAsia="es-AR"/>
              </w:rPr>
              <w:t>&lt;185 Bq kg</w:t>
            </w:r>
            <w:r w:rsidRPr="009C6D42">
              <w:rPr>
                <w:noProof/>
                <w:vertAlign w:val="superscript"/>
                <w:lang w:val="es-AR" w:eastAsia="es-AR"/>
              </w:rPr>
              <w:t>-1</w:t>
            </w:r>
            <w:r w:rsidRPr="009C6D42">
              <w:rPr>
                <w:noProof/>
                <w:lang w:val="es-AR" w:eastAsia="es-AR"/>
              </w:rPr>
              <w:t xml:space="preserve"> to &gt;30,000 Bq kg</w:t>
            </w:r>
            <w:r w:rsidRPr="009C6D42">
              <w:rPr>
                <w:noProof/>
                <w:vertAlign w:val="superscript"/>
                <w:lang w:val="es-AR" w:eastAsia="es-AR"/>
              </w:rPr>
              <w:t>-1</w:t>
            </w:r>
          </w:p>
        </w:tc>
        <w:tc>
          <w:tcPr>
            <w:tcW w:w="923" w:type="pct"/>
            <w:tcBorders>
              <w:bottom w:val="nil"/>
            </w:tcBorders>
          </w:tcPr>
          <w:p w14:paraId="1FC78A3B" w14:textId="77777777" w:rsidR="00D915DD" w:rsidRPr="009C6D42" w:rsidRDefault="00D915DD" w:rsidP="00046707">
            <w:pPr>
              <w:spacing w:after="120"/>
            </w:pPr>
            <w:r w:rsidRPr="009C6D42">
              <w:rPr>
                <w:noProof/>
                <w:lang w:val="es-AR" w:eastAsia="es-AR"/>
              </w:rPr>
              <w:t>&lt;1800 Bq kg</w:t>
            </w:r>
            <w:r w:rsidRPr="009C6D42">
              <w:rPr>
                <w:noProof/>
                <w:vertAlign w:val="superscript"/>
                <w:lang w:val="es-AR" w:eastAsia="es-AR"/>
              </w:rPr>
              <w:t>-1</w:t>
            </w:r>
            <w:r w:rsidRPr="009C6D42">
              <w:rPr>
                <w:noProof/>
                <w:lang w:val="es-AR" w:eastAsia="es-AR"/>
              </w:rPr>
              <w:t xml:space="preserve"> soil action level (RG), 0.15 mSv.year</w:t>
            </w:r>
            <w:r w:rsidRPr="009C6D42">
              <w:rPr>
                <w:noProof/>
                <w:vertAlign w:val="superscript"/>
                <w:lang w:val="es-AR" w:eastAsia="es-AR"/>
              </w:rPr>
              <w:t>-1</w:t>
            </w:r>
            <w:r w:rsidRPr="009C6D42">
              <w:rPr>
                <w:noProof/>
                <w:lang w:val="es-AR" w:eastAsia="es-AR"/>
              </w:rPr>
              <w:t xml:space="preserve"> (RL)</w:t>
            </w:r>
          </w:p>
        </w:tc>
        <w:tc>
          <w:tcPr>
            <w:tcW w:w="753" w:type="pct"/>
            <w:tcBorders>
              <w:bottom w:val="nil"/>
            </w:tcBorders>
          </w:tcPr>
          <w:p w14:paraId="450EBC6B" w14:textId="77777777" w:rsidR="00D915DD" w:rsidRPr="009C6D42" w:rsidRDefault="00D915DD" w:rsidP="00046707">
            <w:pPr>
              <w:pStyle w:val="ICRPnumberedparagraph"/>
              <w:numPr>
                <w:ilvl w:val="0"/>
                <w:numId w:val="0"/>
              </w:numPr>
              <w:tabs>
                <w:tab w:val="num" w:pos="630"/>
              </w:tabs>
              <w:spacing w:after="120"/>
              <w:jc w:val="left"/>
              <w:rPr>
                <w:szCs w:val="24"/>
              </w:rPr>
            </w:pPr>
            <w:r w:rsidRPr="009C6D42">
              <w:rPr>
                <w:noProof/>
                <w:szCs w:val="24"/>
                <w:lang w:val="es-AR" w:eastAsia="es-AR"/>
              </w:rPr>
              <w:t>Industrial area: 5.29 km</w:t>
            </w:r>
            <w:r w:rsidRPr="009C6D42">
              <w:rPr>
                <w:noProof/>
                <w:szCs w:val="24"/>
                <w:vertAlign w:val="superscript"/>
                <w:lang w:val="es-AR" w:eastAsia="es-AR"/>
              </w:rPr>
              <w:t>2</w:t>
            </w:r>
            <w:r w:rsidRPr="009C6D42">
              <w:rPr>
                <w:rFonts w:hint="eastAsia"/>
                <w:noProof/>
                <w:szCs w:val="24"/>
                <w:vertAlign w:val="superscript"/>
                <w:lang w:val="es-AR"/>
              </w:rPr>
              <w:t xml:space="preserve"> </w:t>
            </w:r>
            <w:r w:rsidRPr="009C6D42">
              <w:rPr>
                <w:rFonts w:hint="eastAsia"/>
                <w:noProof/>
                <w:szCs w:val="24"/>
                <w:lang w:val="es-AR"/>
              </w:rPr>
              <w:t xml:space="preserve">, </w:t>
            </w:r>
            <w:r w:rsidRPr="009C6D42">
              <w:rPr>
                <w:noProof/>
                <w:szCs w:val="24"/>
                <w:lang w:val="es-AR"/>
              </w:rPr>
              <w:br/>
            </w:r>
            <w:r w:rsidRPr="009C6D42">
              <w:rPr>
                <w:noProof/>
                <w:szCs w:val="24"/>
                <w:lang w:val="es-AR" w:eastAsia="es-AR"/>
              </w:rPr>
              <w:t>Buffer area:19.7 km</w:t>
            </w:r>
            <w:r w:rsidRPr="009C6D42">
              <w:rPr>
                <w:noProof/>
                <w:szCs w:val="24"/>
                <w:vertAlign w:val="superscript"/>
                <w:lang w:val="es-AR" w:eastAsia="es-AR"/>
              </w:rPr>
              <w:t>2</w:t>
            </w:r>
          </w:p>
        </w:tc>
        <w:tc>
          <w:tcPr>
            <w:tcW w:w="692" w:type="pct"/>
            <w:tcBorders>
              <w:bottom w:val="nil"/>
            </w:tcBorders>
          </w:tcPr>
          <w:p w14:paraId="615F3D8B" w14:textId="77777777" w:rsidR="00D915DD" w:rsidRPr="009C6D42" w:rsidRDefault="00D915DD" w:rsidP="00046707">
            <w:pPr>
              <w:spacing w:after="120"/>
            </w:pPr>
            <w:r w:rsidRPr="009C6D42">
              <w:rPr>
                <w:noProof/>
                <w:lang w:val="es-AR" w:eastAsia="es-AR"/>
              </w:rPr>
              <w:t>Wildlife refuge  (restricted use)</w:t>
            </w:r>
          </w:p>
        </w:tc>
      </w:tr>
      <w:tr w:rsidR="00D915DD" w:rsidRPr="009C6D42" w14:paraId="09A670AE" w14:textId="77777777" w:rsidTr="00046707">
        <w:tc>
          <w:tcPr>
            <w:tcW w:w="467" w:type="pct"/>
            <w:tcBorders>
              <w:top w:val="nil"/>
              <w:bottom w:val="nil"/>
            </w:tcBorders>
          </w:tcPr>
          <w:p w14:paraId="414C7E20" w14:textId="77777777" w:rsidR="00D915DD" w:rsidRPr="009C6D42" w:rsidRDefault="00D915DD" w:rsidP="00046707">
            <w:pPr>
              <w:spacing w:after="120"/>
            </w:pPr>
            <w:r w:rsidRPr="009C6D42">
              <w:rPr>
                <w:noProof/>
                <w:lang w:val="es-AR" w:eastAsia="es-AR"/>
              </w:rPr>
              <w:t>Maralinga, Australia</w:t>
            </w:r>
          </w:p>
        </w:tc>
        <w:tc>
          <w:tcPr>
            <w:tcW w:w="689" w:type="pct"/>
            <w:tcBorders>
              <w:top w:val="nil"/>
              <w:bottom w:val="nil"/>
            </w:tcBorders>
          </w:tcPr>
          <w:p w14:paraId="2E8F5D4E" w14:textId="77777777" w:rsidR="00D915DD" w:rsidRPr="009C6D42" w:rsidRDefault="00D915DD" w:rsidP="00046707">
            <w:pPr>
              <w:pStyle w:val="ICRPnumberedparagraph"/>
              <w:numPr>
                <w:ilvl w:val="0"/>
                <w:numId w:val="0"/>
              </w:numPr>
              <w:tabs>
                <w:tab w:val="num" w:pos="630"/>
              </w:tabs>
              <w:spacing w:after="120"/>
              <w:jc w:val="left"/>
              <w:rPr>
                <w:szCs w:val="24"/>
              </w:rPr>
            </w:pPr>
            <w:r w:rsidRPr="009C6D42">
              <w:rPr>
                <w:noProof/>
                <w:szCs w:val="24"/>
                <w:lang w:val="es-AR" w:eastAsia="es-AR"/>
              </w:rPr>
              <w:t>Pu isotopes, primarily Pu-239</w:t>
            </w:r>
          </w:p>
        </w:tc>
        <w:tc>
          <w:tcPr>
            <w:tcW w:w="785" w:type="pct"/>
            <w:tcBorders>
              <w:top w:val="nil"/>
              <w:bottom w:val="nil"/>
            </w:tcBorders>
          </w:tcPr>
          <w:p w14:paraId="4CFB3E58" w14:textId="77777777" w:rsidR="00D915DD" w:rsidRPr="009C6D42" w:rsidRDefault="00D915DD" w:rsidP="00046707">
            <w:pPr>
              <w:spacing w:after="120"/>
            </w:pPr>
            <w:r w:rsidRPr="009C6D42">
              <w:rPr>
                <w:noProof/>
                <w:lang w:val="es-AR" w:eastAsia="es-AR"/>
              </w:rPr>
              <w:t>Dust inhalation; potential for ingestion and injection of particles in certain areas</w:t>
            </w:r>
          </w:p>
        </w:tc>
        <w:tc>
          <w:tcPr>
            <w:tcW w:w="692" w:type="pct"/>
            <w:tcBorders>
              <w:top w:val="nil"/>
              <w:bottom w:val="nil"/>
            </w:tcBorders>
          </w:tcPr>
          <w:p w14:paraId="5D939AF8" w14:textId="77777777" w:rsidR="00D915DD" w:rsidRPr="009C6D42" w:rsidRDefault="00D915DD" w:rsidP="00046707">
            <w:pPr>
              <w:spacing w:after="120"/>
            </w:pPr>
            <w:r w:rsidRPr="009C6D42">
              <w:rPr>
                <w:noProof/>
                <w:lang w:val="es-AR" w:eastAsia="es-AR"/>
              </w:rPr>
              <w:t>Not provided</w:t>
            </w:r>
          </w:p>
        </w:tc>
        <w:tc>
          <w:tcPr>
            <w:tcW w:w="923" w:type="pct"/>
            <w:tcBorders>
              <w:top w:val="nil"/>
              <w:bottom w:val="nil"/>
            </w:tcBorders>
          </w:tcPr>
          <w:p w14:paraId="02AD169B" w14:textId="4E095E15" w:rsidR="00D915DD" w:rsidRPr="009C6D42" w:rsidRDefault="00D915DD" w:rsidP="00046707">
            <w:pPr>
              <w:spacing w:after="120"/>
            </w:pPr>
            <w:r w:rsidRPr="009C6D42">
              <w:rPr>
                <w:noProof/>
                <w:lang w:val="es-AR" w:eastAsia="es-AR"/>
              </w:rPr>
              <w:t>5 mSv</w:t>
            </w:r>
            <w:r w:rsidR="000660F8">
              <w:rPr>
                <w:rFonts w:eastAsiaTheme="minorEastAsia" w:hint="eastAsia"/>
                <w:noProof/>
                <w:lang w:val="es-AR" w:eastAsia="ja-JP"/>
              </w:rPr>
              <w:t>.</w:t>
            </w:r>
            <w:r w:rsidRPr="009C6D42">
              <w:rPr>
                <w:noProof/>
                <w:lang w:val="es-AR" w:eastAsia="es-AR"/>
              </w:rPr>
              <w:t>year</w:t>
            </w:r>
            <w:r w:rsidRPr="009C6D42">
              <w:rPr>
                <w:noProof/>
                <w:vertAlign w:val="superscript"/>
                <w:lang w:val="es-AR" w:eastAsia="es-AR"/>
              </w:rPr>
              <w:t>-1</w:t>
            </w:r>
            <w:r w:rsidRPr="009C6D42">
              <w:rPr>
                <w:noProof/>
                <w:lang w:val="es-AR" w:eastAsia="es-AR"/>
              </w:rPr>
              <w:t xml:space="preserve"> (RL)</w:t>
            </w:r>
          </w:p>
        </w:tc>
        <w:tc>
          <w:tcPr>
            <w:tcW w:w="753" w:type="pct"/>
            <w:tcBorders>
              <w:top w:val="nil"/>
              <w:bottom w:val="nil"/>
            </w:tcBorders>
          </w:tcPr>
          <w:p w14:paraId="4548EB1C" w14:textId="77777777" w:rsidR="00D915DD" w:rsidRPr="009C6D42" w:rsidRDefault="00D915DD" w:rsidP="00046707">
            <w:pPr>
              <w:spacing w:after="120"/>
            </w:pPr>
            <w:r w:rsidRPr="009C6D42">
              <w:rPr>
                <w:noProof/>
                <w:lang w:val="es-AR" w:eastAsia="es-AR"/>
              </w:rPr>
              <w:t>3,300 km</w:t>
            </w:r>
            <w:r w:rsidRPr="009C6D42">
              <w:rPr>
                <w:noProof/>
                <w:vertAlign w:val="superscript"/>
                <w:lang w:val="es-AR" w:eastAsia="es-AR"/>
              </w:rPr>
              <w:t>2</w:t>
            </w:r>
          </w:p>
        </w:tc>
        <w:tc>
          <w:tcPr>
            <w:tcW w:w="692" w:type="pct"/>
            <w:tcBorders>
              <w:top w:val="nil"/>
              <w:bottom w:val="nil"/>
            </w:tcBorders>
          </w:tcPr>
          <w:p w14:paraId="197070DC" w14:textId="77777777" w:rsidR="00D915DD" w:rsidRPr="009C6D42" w:rsidRDefault="00D915DD" w:rsidP="00046707">
            <w:pPr>
              <w:spacing w:after="120"/>
            </w:pPr>
            <w:r w:rsidRPr="009C6D42">
              <w:rPr>
                <w:noProof/>
                <w:lang w:val="es-AR" w:eastAsia="es-AR"/>
              </w:rPr>
              <w:t>Land use restrictions in place because of potential exposures</w:t>
            </w:r>
          </w:p>
        </w:tc>
      </w:tr>
      <w:tr w:rsidR="00D915DD" w:rsidRPr="009C6D42" w14:paraId="60DA11F0" w14:textId="77777777" w:rsidTr="00046707">
        <w:tc>
          <w:tcPr>
            <w:tcW w:w="467" w:type="pct"/>
            <w:tcBorders>
              <w:top w:val="nil"/>
              <w:bottom w:val="nil"/>
            </w:tcBorders>
          </w:tcPr>
          <w:p w14:paraId="513D84FF" w14:textId="77777777" w:rsidR="00D915DD" w:rsidRPr="009C6D42" w:rsidRDefault="00D915DD" w:rsidP="00046707">
            <w:pPr>
              <w:spacing w:after="120"/>
            </w:pPr>
            <w:r w:rsidRPr="009C6D42">
              <w:rPr>
                <w:noProof/>
                <w:lang w:val="es-AR" w:eastAsia="es-AR"/>
              </w:rPr>
              <w:t>Swiss radium sites</w:t>
            </w:r>
          </w:p>
        </w:tc>
        <w:tc>
          <w:tcPr>
            <w:tcW w:w="689" w:type="pct"/>
            <w:tcBorders>
              <w:top w:val="nil"/>
              <w:bottom w:val="nil"/>
            </w:tcBorders>
          </w:tcPr>
          <w:p w14:paraId="402416E9" w14:textId="77777777" w:rsidR="00D915DD" w:rsidRPr="009C6D42" w:rsidRDefault="00D915DD" w:rsidP="00046707">
            <w:pPr>
              <w:spacing w:after="120"/>
            </w:pPr>
            <w:r w:rsidRPr="009C6D42">
              <w:rPr>
                <w:noProof/>
                <w:lang w:val="es-AR" w:eastAsia="es-AR"/>
              </w:rPr>
              <w:t>Ra-226 (from radium dials)</w:t>
            </w:r>
          </w:p>
        </w:tc>
        <w:tc>
          <w:tcPr>
            <w:tcW w:w="785" w:type="pct"/>
            <w:tcBorders>
              <w:top w:val="nil"/>
              <w:bottom w:val="nil"/>
            </w:tcBorders>
          </w:tcPr>
          <w:p w14:paraId="438FAE2E" w14:textId="77777777" w:rsidR="00D915DD" w:rsidRPr="009C6D42" w:rsidRDefault="00D915DD" w:rsidP="00046707">
            <w:pPr>
              <w:spacing w:after="120"/>
            </w:pPr>
            <w:r w:rsidRPr="009C6D42">
              <w:rPr>
                <w:noProof/>
                <w:lang w:val="es-AR" w:eastAsia="es-AR"/>
              </w:rPr>
              <w:t>External exposure</w:t>
            </w:r>
          </w:p>
        </w:tc>
        <w:tc>
          <w:tcPr>
            <w:tcW w:w="692" w:type="pct"/>
            <w:tcBorders>
              <w:top w:val="nil"/>
              <w:bottom w:val="nil"/>
            </w:tcBorders>
          </w:tcPr>
          <w:p w14:paraId="7A19E3C3" w14:textId="77777777" w:rsidR="00D915DD" w:rsidRPr="009C6D42" w:rsidRDefault="00D915DD" w:rsidP="00046707">
            <w:pPr>
              <w:spacing w:after="120"/>
            </w:pPr>
            <w:r w:rsidRPr="009C6D42">
              <w:rPr>
                <w:noProof/>
                <w:lang w:val="es-AR" w:eastAsia="es-AR"/>
              </w:rPr>
              <w:t>Not provided</w:t>
            </w:r>
          </w:p>
        </w:tc>
        <w:tc>
          <w:tcPr>
            <w:tcW w:w="923" w:type="pct"/>
            <w:tcBorders>
              <w:top w:val="nil"/>
              <w:bottom w:val="nil"/>
            </w:tcBorders>
          </w:tcPr>
          <w:p w14:paraId="4E43B3DD" w14:textId="77777777" w:rsidR="00D915DD" w:rsidRPr="009C6D42" w:rsidRDefault="00D915DD" w:rsidP="00046707">
            <w:pPr>
              <w:spacing w:after="120"/>
            </w:pPr>
            <w:r w:rsidRPr="009C6D42">
              <w:rPr>
                <w:noProof/>
                <w:lang w:val="es-AR" w:eastAsia="es-AR"/>
              </w:rPr>
              <w:t>1 mSv.year</w:t>
            </w:r>
            <w:r w:rsidRPr="009C6D42">
              <w:rPr>
                <w:noProof/>
                <w:vertAlign w:val="superscript"/>
                <w:lang w:val="es-AR" w:eastAsia="es-AR"/>
              </w:rPr>
              <w:t>-1</w:t>
            </w:r>
            <w:r w:rsidRPr="009C6D42">
              <w:rPr>
                <w:noProof/>
                <w:lang w:val="es-AR" w:eastAsia="es-AR"/>
              </w:rPr>
              <w:t xml:space="preserve"> (RL)</w:t>
            </w:r>
          </w:p>
        </w:tc>
        <w:tc>
          <w:tcPr>
            <w:tcW w:w="753" w:type="pct"/>
            <w:tcBorders>
              <w:top w:val="nil"/>
              <w:bottom w:val="nil"/>
            </w:tcBorders>
          </w:tcPr>
          <w:p w14:paraId="1658013A" w14:textId="77777777" w:rsidR="00D915DD" w:rsidRPr="009C6D42" w:rsidRDefault="00D915DD" w:rsidP="00046707">
            <w:pPr>
              <w:spacing w:after="120"/>
            </w:pPr>
            <w:r w:rsidRPr="009C6D42">
              <w:rPr>
                <w:noProof/>
                <w:lang w:val="es-AR" w:eastAsia="es-AR"/>
              </w:rPr>
              <w:t>1,000 buildings (mostly appartments) with some outside areas (gardens)</w:t>
            </w:r>
          </w:p>
        </w:tc>
        <w:tc>
          <w:tcPr>
            <w:tcW w:w="692" w:type="pct"/>
            <w:tcBorders>
              <w:top w:val="nil"/>
              <w:bottom w:val="nil"/>
            </w:tcBorders>
          </w:tcPr>
          <w:p w14:paraId="4933BCAD" w14:textId="77777777" w:rsidR="00D915DD" w:rsidRPr="009C6D42" w:rsidRDefault="00D915DD" w:rsidP="00046707">
            <w:pPr>
              <w:spacing w:after="120"/>
            </w:pPr>
            <w:r w:rsidRPr="009C6D42">
              <w:rPr>
                <w:noProof/>
                <w:lang w:val="es-AR" w:eastAsia="es-AR"/>
              </w:rPr>
              <w:t>Unrestricted following remediation</w:t>
            </w:r>
          </w:p>
        </w:tc>
      </w:tr>
      <w:tr w:rsidR="00D915DD" w:rsidRPr="009C6D42" w14:paraId="3FC5B9DF" w14:textId="77777777" w:rsidTr="00046707">
        <w:tc>
          <w:tcPr>
            <w:tcW w:w="467" w:type="pct"/>
            <w:tcBorders>
              <w:top w:val="nil"/>
              <w:bottom w:val="nil"/>
            </w:tcBorders>
          </w:tcPr>
          <w:p w14:paraId="28EEFCE8" w14:textId="77777777" w:rsidR="00D915DD" w:rsidRPr="009C6D42" w:rsidRDefault="00D915DD" w:rsidP="00046707">
            <w:pPr>
              <w:spacing w:after="120"/>
            </w:pPr>
            <w:r w:rsidRPr="009C6D42">
              <w:rPr>
                <w:noProof/>
                <w:lang w:val="es-AR" w:eastAsia="es-AR"/>
              </w:rPr>
              <w:t>Techa River sites, RF</w:t>
            </w:r>
          </w:p>
        </w:tc>
        <w:tc>
          <w:tcPr>
            <w:tcW w:w="689" w:type="pct"/>
            <w:tcBorders>
              <w:top w:val="nil"/>
              <w:bottom w:val="nil"/>
            </w:tcBorders>
          </w:tcPr>
          <w:p w14:paraId="73690627" w14:textId="77777777" w:rsidR="00D915DD" w:rsidRPr="009C6D42" w:rsidRDefault="00D915DD" w:rsidP="00046707">
            <w:pPr>
              <w:pStyle w:val="ICRPnumberedparagraph"/>
              <w:numPr>
                <w:ilvl w:val="0"/>
                <w:numId w:val="0"/>
              </w:numPr>
              <w:tabs>
                <w:tab w:val="num" w:pos="630"/>
              </w:tabs>
              <w:spacing w:after="120"/>
              <w:jc w:val="left"/>
              <w:rPr>
                <w:szCs w:val="24"/>
              </w:rPr>
            </w:pPr>
            <w:r w:rsidRPr="009C6D42">
              <w:rPr>
                <w:noProof/>
                <w:szCs w:val="24"/>
                <w:lang w:val="es-AR" w:eastAsia="es-AR"/>
              </w:rPr>
              <w:t>Mixed fission products including Sr-90 and Cs-137</w:t>
            </w:r>
          </w:p>
        </w:tc>
        <w:tc>
          <w:tcPr>
            <w:tcW w:w="785" w:type="pct"/>
            <w:tcBorders>
              <w:top w:val="nil"/>
              <w:bottom w:val="nil"/>
            </w:tcBorders>
          </w:tcPr>
          <w:p w14:paraId="1F1DF703" w14:textId="77777777" w:rsidR="00D915DD" w:rsidRPr="009C6D42" w:rsidRDefault="00D915DD" w:rsidP="00046707">
            <w:pPr>
              <w:spacing w:after="120"/>
            </w:pPr>
            <w:r w:rsidRPr="009C6D42">
              <w:rPr>
                <w:noProof/>
                <w:lang w:val="es-AR" w:eastAsia="es-AR"/>
              </w:rPr>
              <w:t>External exposure, drinking water and fish consumption</w:t>
            </w:r>
          </w:p>
        </w:tc>
        <w:tc>
          <w:tcPr>
            <w:tcW w:w="692" w:type="pct"/>
            <w:tcBorders>
              <w:top w:val="nil"/>
              <w:bottom w:val="nil"/>
            </w:tcBorders>
          </w:tcPr>
          <w:p w14:paraId="5B99F6D8" w14:textId="77777777" w:rsidR="00D915DD" w:rsidRPr="009C6D42" w:rsidRDefault="00D915DD" w:rsidP="00046707">
            <w:pPr>
              <w:spacing w:after="120"/>
            </w:pPr>
            <w:r w:rsidRPr="009C6D42">
              <w:rPr>
                <w:noProof/>
                <w:lang w:val="es-AR" w:eastAsia="es-AR"/>
              </w:rPr>
              <w:t>115 PBq total released to the river</w:t>
            </w:r>
          </w:p>
        </w:tc>
        <w:tc>
          <w:tcPr>
            <w:tcW w:w="923" w:type="pct"/>
            <w:tcBorders>
              <w:top w:val="nil"/>
              <w:bottom w:val="nil"/>
            </w:tcBorders>
          </w:tcPr>
          <w:p w14:paraId="3C9FA49F" w14:textId="77777777" w:rsidR="00D915DD" w:rsidRPr="009C6D42" w:rsidRDefault="00D915DD" w:rsidP="00046707">
            <w:pPr>
              <w:spacing w:after="120"/>
            </w:pPr>
            <w:r w:rsidRPr="009C6D42">
              <w:rPr>
                <w:noProof/>
                <w:lang w:val="es-AR" w:eastAsia="es-AR"/>
              </w:rPr>
              <w:t>Not established</w:t>
            </w:r>
          </w:p>
        </w:tc>
        <w:tc>
          <w:tcPr>
            <w:tcW w:w="753" w:type="pct"/>
            <w:tcBorders>
              <w:top w:val="nil"/>
              <w:bottom w:val="nil"/>
            </w:tcBorders>
          </w:tcPr>
          <w:p w14:paraId="537B2DAB" w14:textId="77777777" w:rsidR="00D915DD" w:rsidRPr="009C6D42" w:rsidRDefault="00D915DD" w:rsidP="00046707">
            <w:pPr>
              <w:spacing w:after="120"/>
            </w:pPr>
            <w:r w:rsidRPr="009C6D42">
              <w:rPr>
                <w:noProof/>
                <w:lang w:val="es-AR" w:eastAsia="es-AR"/>
              </w:rPr>
              <w:t>240 km (length of Techa River downstream)</w:t>
            </w:r>
          </w:p>
        </w:tc>
        <w:tc>
          <w:tcPr>
            <w:tcW w:w="692" w:type="pct"/>
            <w:tcBorders>
              <w:top w:val="nil"/>
              <w:bottom w:val="nil"/>
            </w:tcBorders>
          </w:tcPr>
          <w:p w14:paraId="3793E505" w14:textId="77777777" w:rsidR="00D915DD" w:rsidRPr="009C6D42" w:rsidRDefault="00D915DD" w:rsidP="00046707">
            <w:pPr>
              <w:spacing w:after="120"/>
            </w:pPr>
            <w:r w:rsidRPr="009C6D42">
              <w:rPr>
                <w:noProof/>
                <w:lang w:val="es-AR" w:eastAsia="es-AR"/>
              </w:rPr>
              <w:t>Many residences still exposed</w:t>
            </w:r>
          </w:p>
        </w:tc>
      </w:tr>
      <w:tr w:rsidR="00D915DD" w:rsidRPr="009C6D42" w14:paraId="678BE55D" w14:textId="77777777" w:rsidTr="00046707">
        <w:tc>
          <w:tcPr>
            <w:tcW w:w="467" w:type="pct"/>
            <w:tcBorders>
              <w:top w:val="nil"/>
            </w:tcBorders>
          </w:tcPr>
          <w:p w14:paraId="1F787DAD" w14:textId="77777777" w:rsidR="00D915DD" w:rsidRPr="009C6D42" w:rsidRDefault="00D915DD" w:rsidP="00046707">
            <w:pPr>
              <w:spacing w:after="120"/>
            </w:pPr>
            <w:r w:rsidRPr="009C6D42">
              <w:rPr>
                <w:noProof/>
                <w:lang w:val="es-AR" w:eastAsia="es-AR"/>
              </w:rPr>
              <w:t>Dalgety Bay, Scotland</w:t>
            </w:r>
          </w:p>
        </w:tc>
        <w:tc>
          <w:tcPr>
            <w:tcW w:w="689" w:type="pct"/>
            <w:tcBorders>
              <w:top w:val="nil"/>
            </w:tcBorders>
          </w:tcPr>
          <w:p w14:paraId="6C7A0B45" w14:textId="77777777" w:rsidR="00D915DD" w:rsidRPr="009C6D42" w:rsidRDefault="00D915DD" w:rsidP="00046707">
            <w:pPr>
              <w:spacing w:after="120"/>
            </w:pPr>
            <w:r w:rsidRPr="009C6D42">
              <w:rPr>
                <w:noProof/>
                <w:lang w:val="es-AR" w:eastAsia="es-AR"/>
              </w:rPr>
              <w:t>Potential exposure to Ra-226</w:t>
            </w:r>
          </w:p>
        </w:tc>
        <w:tc>
          <w:tcPr>
            <w:tcW w:w="785" w:type="pct"/>
            <w:tcBorders>
              <w:top w:val="nil"/>
            </w:tcBorders>
          </w:tcPr>
          <w:p w14:paraId="210F4377" w14:textId="77777777" w:rsidR="00D915DD" w:rsidRPr="009C6D42" w:rsidRDefault="00D915DD" w:rsidP="00046707">
            <w:pPr>
              <w:spacing w:after="120"/>
            </w:pPr>
            <w:r w:rsidRPr="009C6D42">
              <w:rPr>
                <w:noProof/>
                <w:lang w:val="es-AR" w:eastAsia="es-AR"/>
              </w:rPr>
              <w:t>Skin contact and inadvertent ingestion of discrete particles</w:t>
            </w:r>
          </w:p>
        </w:tc>
        <w:tc>
          <w:tcPr>
            <w:tcW w:w="692" w:type="pct"/>
            <w:tcBorders>
              <w:top w:val="nil"/>
            </w:tcBorders>
          </w:tcPr>
          <w:p w14:paraId="619BE733" w14:textId="77777777" w:rsidR="00D915DD" w:rsidRPr="009C6D42" w:rsidRDefault="00D915DD" w:rsidP="00046707">
            <w:pPr>
              <w:pStyle w:val="ICRPnumberedparagraph"/>
              <w:numPr>
                <w:ilvl w:val="0"/>
                <w:numId w:val="0"/>
              </w:numPr>
              <w:tabs>
                <w:tab w:val="num" w:pos="630"/>
              </w:tabs>
              <w:spacing w:after="120"/>
              <w:jc w:val="left"/>
              <w:rPr>
                <w:szCs w:val="24"/>
              </w:rPr>
            </w:pPr>
            <w:r w:rsidRPr="009C6D42">
              <w:rPr>
                <w:noProof/>
                <w:szCs w:val="24"/>
                <w:lang w:val="es-AR" w:eastAsia="es-AR"/>
              </w:rPr>
              <w:t>Discrete particles ranging from ~1 kBq to ~76 MBq</w:t>
            </w:r>
          </w:p>
        </w:tc>
        <w:tc>
          <w:tcPr>
            <w:tcW w:w="923" w:type="pct"/>
            <w:tcBorders>
              <w:top w:val="nil"/>
            </w:tcBorders>
          </w:tcPr>
          <w:p w14:paraId="3501677F" w14:textId="77777777" w:rsidR="00D915DD" w:rsidRPr="009C6D42" w:rsidRDefault="00D915DD" w:rsidP="00046707">
            <w:pPr>
              <w:spacing w:after="120"/>
            </w:pPr>
            <w:r w:rsidRPr="009C6D42">
              <w:rPr>
                <w:noProof/>
                <w:lang w:val="es-AR" w:eastAsia="es-AR"/>
              </w:rPr>
              <w:t>Current or future probability of an individual receiving 1 mSv committed effective dose is less than 10</w:t>
            </w:r>
            <w:r w:rsidRPr="009C6D42">
              <w:rPr>
                <w:noProof/>
                <w:vertAlign w:val="superscript"/>
                <w:lang w:val="es-AR" w:eastAsia="es-AR"/>
              </w:rPr>
              <w:t>−6</w:t>
            </w:r>
            <w:r w:rsidRPr="009C6D42">
              <w:rPr>
                <w:noProof/>
                <w:lang w:val="es-AR" w:eastAsia="es-AR"/>
              </w:rPr>
              <w:t>.year</w:t>
            </w:r>
            <w:r w:rsidRPr="009C6D42">
              <w:rPr>
                <w:noProof/>
                <w:vertAlign w:val="superscript"/>
                <w:lang w:val="es-AR" w:eastAsia="es-AR"/>
              </w:rPr>
              <w:t>-1</w:t>
            </w:r>
          </w:p>
        </w:tc>
        <w:tc>
          <w:tcPr>
            <w:tcW w:w="753" w:type="pct"/>
            <w:tcBorders>
              <w:top w:val="nil"/>
            </w:tcBorders>
          </w:tcPr>
          <w:p w14:paraId="11EC300E" w14:textId="77777777" w:rsidR="00D915DD" w:rsidRPr="009C6D42" w:rsidRDefault="00D915DD" w:rsidP="00046707">
            <w:pPr>
              <w:spacing w:after="120"/>
            </w:pPr>
            <w:r w:rsidRPr="009C6D42">
              <w:rPr>
                <w:noProof/>
                <w:lang w:val="es-AR" w:eastAsia="es-AR"/>
              </w:rPr>
              <w:t>~1 km of coastline and foreshore</w:t>
            </w:r>
          </w:p>
        </w:tc>
        <w:tc>
          <w:tcPr>
            <w:tcW w:w="692" w:type="pct"/>
            <w:tcBorders>
              <w:top w:val="nil"/>
            </w:tcBorders>
          </w:tcPr>
          <w:p w14:paraId="2CFC566A" w14:textId="77777777" w:rsidR="00D915DD" w:rsidRPr="009C6D42" w:rsidRDefault="00D915DD" w:rsidP="00046707">
            <w:pPr>
              <w:spacing w:after="120"/>
            </w:pPr>
            <w:r w:rsidRPr="009C6D42">
              <w:rPr>
                <w:noProof/>
                <w:lang w:val="es-AR" w:eastAsia="es-AR"/>
              </w:rPr>
              <w:t>Public access restored following remediation</w:t>
            </w:r>
          </w:p>
        </w:tc>
      </w:tr>
    </w:tbl>
    <w:p w14:paraId="32BC54B2" w14:textId="77777777" w:rsidR="00F630C4" w:rsidRDefault="00F630C4" w:rsidP="00F630C4">
      <w:pPr>
        <w:pStyle w:val="Annalstext"/>
      </w:pPr>
    </w:p>
    <w:p w14:paraId="443CAFCA" w14:textId="77777777" w:rsidR="00F630C4" w:rsidRDefault="00F630C4" w:rsidP="00F630C4">
      <w:pPr>
        <w:pStyle w:val="Annalstext"/>
        <w:sectPr w:rsidR="00F630C4" w:rsidSect="00F630C4">
          <w:pgSz w:w="16840" w:h="11907" w:orient="landscape" w:code="9"/>
          <w:pgMar w:top="1440" w:right="1440" w:bottom="1440" w:left="1440" w:header="720" w:footer="720" w:gutter="0"/>
          <w:lnNumType w:countBy="1" w:restart="continuous"/>
          <w:cols w:space="720"/>
          <w:noEndnote/>
          <w:docGrid w:linePitch="326"/>
        </w:sectPr>
      </w:pPr>
    </w:p>
    <w:p w14:paraId="4A5D55DC" w14:textId="77777777" w:rsidR="00797C13" w:rsidRPr="009F6388" w:rsidRDefault="00C87581" w:rsidP="008375F2">
      <w:pPr>
        <w:pStyle w:val="AnnalshdgB"/>
        <w:numPr>
          <w:ilvl w:val="1"/>
          <w:numId w:val="42"/>
        </w:numPr>
        <w:jc w:val="left"/>
        <w:rPr>
          <w:i w:val="0"/>
          <w:iCs w:val="0"/>
        </w:rPr>
      </w:pPr>
      <w:bookmarkStart w:id="35" w:name="_Toc166586804"/>
      <w:r w:rsidRPr="009F6388">
        <w:rPr>
          <w:i w:val="0"/>
          <w:iCs w:val="0"/>
        </w:rPr>
        <w:lastRenderedPageBreak/>
        <w:t xml:space="preserve">Practical experience </w:t>
      </w:r>
      <w:r w:rsidR="00797C13" w:rsidRPr="009F6388">
        <w:rPr>
          <w:i w:val="0"/>
          <w:iCs w:val="0"/>
        </w:rPr>
        <w:t>f</w:t>
      </w:r>
      <w:r w:rsidRPr="009F6388">
        <w:rPr>
          <w:i w:val="0"/>
          <w:iCs w:val="0"/>
        </w:rPr>
        <w:t>rom</w:t>
      </w:r>
      <w:r w:rsidR="00797C13" w:rsidRPr="009F6388">
        <w:rPr>
          <w:i w:val="0"/>
          <w:iCs w:val="0"/>
        </w:rPr>
        <w:t xml:space="preserve"> case studies</w:t>
      </w:r>
      <w:bookmarkEnd w:id="33"/>
      <w:bookmarkEnd w:id="34"/>
      <w:bookmarkEnd w:id="35"/>
    </w:p>
    <w:bookmarkEnd w:id="31"/>
    <w:bookmarkEnd w:id="32"/>
    <w:p w14:paraId="79B3AEDD" w14:textId="7DED68BF" w:rsidR="00797C13" w:rsidRPr="00B264DF" w:rsidRDefault="00BD3472" w:rsidP="000771AC">
      <w:pPr>
        <w:pStyle w:val="ICRPnumberedparagraph"/>
        <w:numPr>
          <w:ilvl w:val="0"/>
          <w:numId w:val="13"/>
        </w:numPr>
        <w:tabs>
          <w:tab w:val="num" w:pos="630"/>
        </w:tabs>
        <w:ind w:left="0"/>
      </w:pPr>
      <w:r w:rsidRPr="00B264DF">
        <w:t>All case studies required an estimation of the dose received by representative persons from real or hypothetical populations.</w:t>
      </w:r>
      <w:r w:rsidR="00797C13" w:rsidRPr="00B264DF">
        <w:t xml:space="preserve"> </w:t>
      </w:r>
      <w:r w:rsidR="00EB013A">
        <w:t>T</w:t>
      </w:r>
      <w:r w:rsidR="00797C13" w:rsidRPr="00B264DF">
        <w:t xml:space="preserve">o quantify doses that arise from an existing exposure situation, the environment must be </w:t>
      </w:r>
      <w:r w:rsidR="00CF7AB8" w:rsidRPr="00B264DF">
        <w:t xml:space="preserve">appropriately </w:t>
      </w:r>
      <w:r w:rsidR="00797C13" w:rsidRPr="00B264DF">
        <w:t xml:space="preserve">characterised. Characterisation involves: 1) quantification of radionuclide activity concentrations in </w:t>
      </w:r>
      <w:r w:rsidR="00CF7AB8" w:rsidRPr="00B264DF">
        <w:t xml:space="preserve">potentially relevant </w:t>
      </w:r>
      <w:r w:rsidR="00797C13" w:rsidRPr="00B264DF">
        <w:t>environmental media (</w:t>
      </w:r>
      <w:r w:rsidR="00CF7AB8" w:rsidRPr="00B264DF">
        <w:t xml:space="preserve">such as </w:t>
      </w:r>
      <w:r w:rsidR="00797C13" w:rsidRPr="00B264DF">
        <w:t>air, soil, water</w:t>
      </w:r>
      <w:r w:rsidR="00CF7AB8" w:rsidRPr="00B264DF">
        <w:t xml:space="preserve">, sediments and </w:t>
      </w:r>
      <w:r w:rsidR="00261890">
        <w:t xml:space="preserve">non-human </w:t>
      </w:r>
      <w:r w:rsidR="00CF7AB8" w:rsidRPr="00B264DF">
        <w:t>biota</w:t>
      </w:r>
      <w:r w:rsidR="00797C13" w:rsidRPr="00B264DF">
        <w:t xml:space="preserve">) and in the impacted area, including at the </w:t>
      </w:r>
      <w:r w:rsidR="00CF7AB8" w:rsidRPr="00B264DF">
        <w:t xml:space="preserve">location </w:t>
      </w:r>
      <w:r w:rsidR="00797C13" w:rsidRPr="00B264DF">
        <w:t>of exposure,</w:t>
      </w:r>
      <w:r w:rsidR="00D16B77">
        <w:t xml:space="preserve"> as well as in </w:t>
      </w:r>
      <w:r w:rsidR="00CD262A">
        <w:t>unaffected</w:t>
      </w:r>
      <w:r w:rsidR="00D16B77">
        <w:t>, baseline areas</w:t>
      </w:r>
      <w:r w:rsidR="00D111E7">
        <w:t>;</w:t>
      </w:r>
      <w:r w:rsidR="00797C13" w:rsidRPr="00B264DF">
        <w:t xml:space="preserve"> 2)</w:t>
      </w:r>
      <w:r w:rsidR="00CF7AB8" w:rsidRPr="00B264DF">
        <w:t xml:space="preserve"> sufficient system understanding to support</w:t>
      </w:r>
      <w:r w:rsidR="00797C13" w:rsidRPr="00B264DF">
        <w:t xml:space="preserve"> identification of potential environmental transport pathways </w:t>
      </w:r>
      <w:r w:rsidR="00A051AD" w:rsidRPr="00B264DF">
        <w:t>(Lindborg et al., 2021)</w:t>
      </w:r>
      <w:r w:rsidR="00D111E7">
        <w:t>;</w:t>
      </w:r>
      <w:r w:rsidR="00A051AD" w:rsidRPr="00B264DF">
        <w:t xml:space="preserve"> </w:t>
      </w:r>
      <w:r w:rsidR="00797C13" w:rsidRPr="00B264DF">
        <w:t>and 3) identification and characterisation of human and environmental exposure pathways for both the present</w:t>
      </w:r>
      <w:r w:rsidR="00F835B4">
        <w:t xml:space="preserve"> situation</w:t>
      </w:r>
      <w:r w:rsidR="00797C13" w:rsidRPr="00B264DF">
        <w:t xml:space="preserve"> </w:t>
      </w:r>
      <w:r w:rsidR="00ED6FAE" w:rsidRPr="00ED6FAE">
        <w:t xml:space="preserve">(including, in some cases, an assessment of past exposures) </w:t>
      </w:r>
      <w:r w:rsidR="00797C13" w:rsidRPr="00B264DF">
        <w:t xml:space="preserve">and in the future. In this context, the existing contaminated environment </w:t>
      </w:r>
      <w:r w:rsidR="00E20BD3">
        <w:t>can be</w:t>
      </w:r>
      <w:r w:rsidR="00797C13" w:rsidRPr="00B264DF">
        <w:t xml:space="preserve"> treated as a source according to the ICRP </w:t>
      </w:r>
      <w:r w:rsidR="00797C13" w:rsidRPr="00667C97">
        <w:rPr>
          <w:i/>
          <w:iCs/>
        </w:rPr>
        <w:t>Publication 103</w:t>
      </w:r>
      <w:r w:rsidR="00797C13" w:rsidRPr="00B264DF">
        <w:t xml:space="preserve"> definition of a source.</w:t>
      </w:r>
    </w:p>
    <w:p w14:paraId="7D483B3C" w14:textId="0A961697" w:rsidR="00797C13" w:rsidRPr="00B264DF" w:rsidRDefault="00797C13" w:rsidP="005407A8">
      <w:pPr>
        <w:pStyle w:val="ICRPnumberedparagraph"/>
        <w:numPr>
          <w:ilvl w:val="0"/>
          <w:numId w:val="13"/>
        </w:numPr>
        <w:tabs>
          <w:tab w:val="num" w:pos="630"/>
        </w:tabs>
        <w:ind w:left="0"/>
      </w:pPr>
      <w:r w:rsidRPr="00B264DF">
        <w:t xml:space="preserve">In many cases, </w:t>
      </w:r>
      <w:r w:rsidR="00E616A2">
        <w:t>an</w:t>
      </w:r>
      <w:r w:rsidR="00E616A2" w:rsidRPr="00B264DF">
        <w:t xml:space="preserve"> </w:t>
      </w:r>
      <w:r w:rsidRPr="00B264DF">
        <w:t xml:space="preserve">existing exposure situation involves radionuclides present in the environment that are currently resulting in radiation exposure to individuals </w:t>
      </w:r>
      <w:r w:rsidR="00C90A48" w:rsidRPr="00B264DF">
        <w:t xml:space="preserve">and </w:t>
      </w:r>
      <w:r w:rsidR="00BD40E4">
        <w:t xml:space="preserve">non-human </w:t>
      </w:r>
      <w:r w:rsidR="00C90A48" w:rsidRPr="00B264DF">
        <w:t>biota</w:t>
      </w:r>
      <w:r w:rsidRPr="00B264DF">
        <w:t>. The amount of remediation is dependent on the intended use of the land and assumed exposure scenario</w:t>
      </w:r>
      <w:r w:rsidR="005B3032">
        <w:t>s</w:t>
      </w:r>
      <w:r w:rsidRPr="00B264DF">
        <w:t xml:space="preserve"> since this will affect doses incurred by a future population (see Rocky Flats case study</w:t>
      </w:r>
      <w:r w:rsidR="001413D9">
        <w:t xml:space="preserve"> </w:t>
      </w:r>
      <w:r w:rsidR="003378CC">
        <w:t>in</w:t>
      </w:r>
      <w:r w:rsidR="001413D9">
        <w:t xml:space="preserve"> Section A.1</w:t>
      </w:r>
      <w:r w:rsidRPr="00B264DF">
        <w:t>). A radionuclide source (e.g. contaminated soil or water) may be isolated with no viable human exposure pathway. However, if left untreated</w:t>
      </w:r>
      <w:r w:rsidR="00B43BF2">
        <w:t xml:space="preserve"> (</w:t>
      </w:r>
      <w:proofErr w:type="gramStart"/>
      <w:r w:rsidR="00B43BF2">
        <w:t>taking into account</w:t>
      </w:r>
      <w:proofErr w:type="gramEnd"/>
      <w:r w:rsidR="00B43BF2">
        <w:t xml:space="preserve"> that i</w:t>
      </w:r>
      <w:r w:rsidR="00B43BF2" w:rsidRPr="00B43BF2">
        <w:t xml:space="preserve">n many cases, it is not possible to totally </w:t>
      </w:r>
      <w:r w:rsidR="003B7ED6">
        <w:t xml:space="preserve">remove </w:t>
      </w:r>
      <w:r w:rsidR="00B43BF2" w:rsidRPr="00B43BF2">
        <w:t xml:space="preserve">the source and there is </w:t>
      </w:r>
      <w:r w:rsidR="005C47EB">
        <w:t xml:space="preserve">residual, albeit </w:t>
      </w:r>
      <w:r w:rsidR="00627FED">
        <w:t>lower,</w:t>
      </w:r>
      <w:r w:rsidR="00627FED" w:rsidRPr="00B43BF2">
        <w:t xml:space="preserve"> exposure</w:t>
      </w:r>
      <w:r w:rsidR="00B43BF2" w:rsidRPr="00B43BF2">
        <w:t xml:space="preserve"> after treatment</w:t>
      </w:r>
      <w:r w:rsidR="00B43BF2">
        <w:t>)</w:t>
      </w:r>
      <w:r w:rsidRPr="00B264DF">
        <w:t xml:space="preserve">, future migration of existing contamination may result in radiation doses to persons in the future. While the Techa </w:t>
      </w:r>
      <w:r w:rsidR="00C55CCA">
        <w:t>R</w:t>
      </w:r>
      <w:r w:rsidRPr="00B264DF">
        <w:t xml:space="preserve">iver presents an existing </w:t>
      </w:r>
      <w:r w:rsidR="003F0B66">
        <w:t xml:space="preserve">exposure </w:t>
      </w:r>
      <w:r w:rsidRPr="00B264DF">
        <w:t>situation where</w:t>
      </w:r>
      <w:r w:rsidR="006F551B" w:rsidRPr="00B264DF">
        <w:t xml:space="preserve"> actual exposures are </w:t>
      </w:r>
      <w:r w:rsidR="00932863" w:rsidRPr="00B264DF">
        <w:t>occurring</w:t>
      </w:r>
      <w:r w:rsidRPr="00B264DF">
        <w:t>, it also represents this latter case for radionuclides remaining in river sediments</w:t>
      </w:r>
      <w:r w:rsidR="00DB7918">
        <w:t xml:space="preserve">, </w:t>
      </w:r>
      <w:proofErr w:type="gramStart"/>
      <w:r w:rsidR="003F0B66">
        <w:t>soils</w:t>
      </w:r>
      <w:proofErr w:type="gramEnd"/>
      <w:r w:rsidR="00DB7918">
        <w:t xml:space="preserve"> or groundwater</w:t>
      </w:r>
      <w:r w:rsidRPr="00B264DF">
        <w:t xml:space="preserve"> in depopulated areas </w:t>
      </w:r>
      <w:r w:rsidR="00DB7918">
        <w:t xml:space="preserve">of the watershed </w:t>
      </w:r>
      <w:r w:rsidRPr="00B264DF">
        <w:t xml:space="preserve">that may be mobilised, resulting in exposure </w:t>
      </w:r>
      <w:r w:rsidRPr="00644194">
        <w:t>to persons</w:t>
      </w:r>
      <w:r w:rsidRPr="00B264DF">
        <w:t xml:space="preserve"> downstream of the contamination. Thus, it is important for any characterisation effort to identify current contamination levels and how radionuclides may migrate in the future. </w:t>
      </w:r>
    </w:p>
    <w:p w14:paraId="57155CD0" w14:textId="629C7FD4" w:rsidR="00797C13" w:rsidRPr="00B264DF" w:rsidRDefault="00797C13" w:rsidP="000771AC">
      <w:pPr>
        <w:pStyle w:val="ICRPnumberedparagraph"/>
        <w:numPr>
          <w:ilvl w:val="0"/>
          <w:numId w:val="13"/>
        </w:numPr>
        <w:tabs>
          <w:tab w:val="num" w:pos="630"/>
        </w:tabs>
        <w:ind w:left="0"/>
      </w:pPr>
      <w:r w:rsidRPr="00B264DF">
        <w:t>Radionuclide decay and transport</w:t>
      </w:r>
      <w:r w:rsidR="00DE48FC">
        <w:t xml:space="preserve"> can</w:t>
      </w:r>
      <w:r w:rsidRPr="00B264DF">
        <w:t xml:space="preserve"> affect future levels of exposure in the environment</w:t>
      </w:r>
      <w:r w:rsidR="0049573E">
        <w:t>,</w:t>
      </w:r>
      <w:r w:rsidRPr="00B264DF">
        <w:t xml:space="preserve"> and these processes need to be considered in </w:t>
      </w:r>
      <w:r w:rsidR="005B3032">
        <w:t xml:space="preserve">the </w:t>
      </w:r>
      <w:r w:rsidRPr="00B264DF">
        <w:t xml:space="preserve">remediation </w:t>
      </w:r>
      <w:r w:rsidR="005B3032">
        <w:t>plan</w:t>
      </w:r>
      <w:r w:rsidRPr="00B264DF">
        <w:t>. A</w:t>
      </w:r>
      <w:r w:rsidR="006C3DB4" w:rsidRPr="00B264DF">
        <w:t xml:space="preserve">n individual’s </w:t>
      </w:r>
      <w:r w:rsidRPr="00B264DF">
        <w:t xml:space="preserve">dose is highly dependent on </w:t>
      </w:r>
      <w:r w:rsidR="00B11ED2">
        <w:t>individual’s</w:t>
      </w:r>
      <w:r w:rsidR="00B11ED2" w:rsidRPr="00B264DF">
        <w:t xml:space="preserve"> </w:t>
      </w:r>
      <w:r w:rsidRPr="00B264DF">
        <w:t>habits and behaviour</w:t>
      </w:r>
      <w:r w:rsidR="00431171">
        <w:t>,</w:t>
      </w:r>
      <w:r w:rsidRPr="00B264DF">
        <w:t xml:space="preserve"> and, for an exposed population, a distribution of doses is expected. In addition to characteris</w:t>
      </w:r>
      <w:r w:rsidR="007B2B94">
        <w:t>ing</w:t>
      </w:r>
      <w:r w:rsidRPr="00B264DF">
        <w:t xml:space="preserve"> radionuclides in the environment, characteris</w:t>
      </w:r>
      <w:r w:rsidR="003A1A5E">
        <w:t>ing</w:t>
      </w:r>
      <w:r w:rsidRPr="00B264DF">
        <w:t xml:space="preserve"> the exposed population is also necessary</w:t>
      </w:r>
      <w:r w:rsidR="00FE087C" w:rsidRPr="00FE087C">
        <w:t xml:space="preserve"> for defining the appropriate representative </w:t>
      </w:r>
      <w:r w:rsidR="00F74359" w:rsidRPr="00FE087C">
        <w:t>person</w:t>
      </w:r>
      <w:r w:rsidR="00F74359">
        <w:t>.</w:t>
      </w:r>
      <w:r w:rsidRPr="00B264DF">
        <w:t xml:space="preserve"> This may include characterisation of local habits</w:t>
      </w:r>
      <w:r w:rsidR="000B5F8F">
        <w:t>, cultural</w:t>
      </w:r>
      <w:r w:rsidRPr="00B264DF">
        <w:t xml:space="preserve"> practices </w:t>
      </w:r>
      <w:r w:rsidR="000B5F8F">
        <w:t xml:space="preserve">and related lifestyle factors </w:t>
      </w:r>
      <w:r w:rsidRPr="00B264DF">
        <w:t xml:space="preserve">that may determine </w:t>
      </w:r>
      <w:r w:rsidR="000B5F8F" w:rsidRPr="000B5F8F">
        <w:t>the relevant internal and external exposure</w:t>
      </w:r>
      <w:r w:rsidR="006B48BA">
        <w:t xml:space="preserve"> pathways</w:t>
      </w:r>
      <w:r w:rsidR="000B5F8F" w:rsidRPr="000B5F8F">
        <w:t>.</w:t>
      </w:r>
      <w:r w:rsidRPr="00B264DF">
        <w:t xml:space="preserve"> Suffice it to say that assumptions about the habits and </w:t>
      </w:r>
      <w:r w:rsidR="00A563E6" w:rsidRPr="00B264DF">
        <w:t>behaviours</w:t>
      </w:r>
      <w:r w:rsidRPr="00B264DF">
        <w:t xml:space="preserve"> of the exposed population have a direct effect on their estimated dose, and thus impact any remediation decision and the setting of reference levels</w:t>
      </w:r>
      <w:r w:rsidR="00A563E6">
        <w:t xml:space="preserve"> or other criteria</w:t>
      </w:r>
      <w:r w:rsidRPr="00B264DF">
        <w:t xml:space="preserve">. It is important, therefore, that assumptions are realistic </w:t>
      </w:r>
      <w:r w:rsidR="00365D8B">
        <w:t>regarding</w:t>
      </w:r>
      <w:r w:rsidRPr="00B264DF">
        <w:t xml:space="preserve"> potential exposure pathways, </w:t>
      </w:r>
      <w:r w:rsidR="00161230">
        <w:t xml:space="preserve">habits, </w:t>
      </w:r>
      <w:r w:rsidR="00FE756A" w:rsidRPr="00B264DF">
        <w:t>behavio</w:t>
      </w:r>
      <w:r w:rsidR="008B3397" w:rsidRPr="00B264DF">
        <w:t>u</w:t>
      </w:r>
      <w:r w:rsidR="00FE756A" w:rsidRPr="00B264DF">
        <w:t>rs</w:t>
      </w:r>
      <w:r w:rsidRPr="00B264DF">
        <w:t xml:space="preserve">, and exposure parameters that may affect </w:t>
      </w:r>
      <w:r w:rsidR="00FE087C">
        <w:t xml:space="preserve">the </w:t>
      </w:r>
      <w:r w:rsidRPr="00B264DF">
        <w:t>estimated dose</w:t>
      </w:r>
      <w:r w:rsidR="00FE087C">
        <w:t xml:space="preserve"> to the representative person</w:t>
      </w:r>
      <w:r w:rsidRPr="00B264DF">
        <w:t>.</w:t>
      </w:r>
      <w:r w:rsidR="00600ABE" w:rsidRPr="00B264DF">
        <w:t xml:space="preserve"> Caution may be adopted in the absence of robust data – or as part of a</w:t>
      </w:r>
      <w:r w:rsidR="00B94BCF">
        <w:t xml:space="preserve">n </w:t>
      </w:r>
      <w:r w:rsidR="005F206C">
        <w:t xml:space="preserve">assessment applying a </w:t>
      </w:r>
      <w:r w:rsidR="00600ABE" w:rsidRPr="00B264DF">
        <w:t xml:space="preserve">graded approach, but the combination of assumptions made should not result in assessed doses that are very unlikely to occur unless the probability of that level of exposure is also </w:t>
      </w:r>
      <w:proofErr w:type="gramStart"/>
      <w:r w:rsidR="00600ABE" w:rsidRPr="00B264DF">
        <w:t>taken into account</w:t>
      </w:r>
      <w:proofErr w:type="gramEnd"/>
      <w:r w:rsidR="00600ABE" w:rsidRPr="00B264DF">
        <w:t xml:space="preserve"> in the decision making.</w:t>
      </w:r>
    </w:p>
    <w:p w14:paraId="699686AE" w14:textId="7B8087A8" w:rsidR="00797C13" w:rsidRPr="00B264DF" w:rsidRDefault="00797C13" w:rsidP="000771AC">
      <w:pPr>
        <w:pStyle w:val="ICRPnumberedparagraph"/>
        <w:numPr>
          <w:ilvl w:val="0"/>
          <w:numId w:val="13"/>
        </w:numPr>
        <w:tabs>
          <w:tab w:val="num" w:pos="630"/>
        </w:tabs>
        <w:ind w:left="0"/>
      </w:pPr>
      <w:r w:rsidRPr="00B264DF">
        <w:t>In addition to radi</w:t>
      </w:r>
      <w:r w:rsidR="007B17DB" w:rsidRPr="00B264DF">
        <w:t xml:space="preserve">ation </w:t>
      </w:r>
      <w:r w:rsidRPr="00B264DF">
        <w:t>dose, social and economic factors were also considered when setting the reference levels in the case studies</w:t>
      </w:r>
      <w:r w:rsidR="002C26C0" w:rsidRPr="00B264DF">
        <w:t>, including</w:t>
      </w:r>
      <w:r w:rsidR="003F2AA9" w:rsidRPr="00B264DF">
        <w:t>,</w:t>
      </w:r>
      <w:r w:rsidR="002C26C0" w:rsidRPr="00B264DF">
        <w:t xml:space="preserve"> </w:t>
      </w:r>
      <w:r w:rsidR="00F92CD7" w:rsidRPr="00B264DF">
        <w:t>in most cases</w:t>
      </w:r>
      <w:r w:rsidR="003F2AA9" w:rsidRPr="00B264DF">
        <w:t>,</w:t>
      </w:r>
      <w:r w:rsidR="00F92CD7" w:rsidRPr="00B264DF">
        <w:t xml:space="preserve"> the involvement of stakeholders in the </w:t>
      </w:r>
      <w:r w:rsidR="00C55909" w:rsidRPr="00B264DF">
        <w:t>decision-making</w:t>
      </w:r>
      <w:r w:rsidR="00E304A4">
        <w:t xml:space="preserve"> </w:t>
      </w:r>
      <w:r w:rsidR="003F2AA9" w:rsidRPr="00B264DF">
        <w:t>process</w:t>
      </w:r>
      <w:r w:rsidRPr="00B264DF">
        <w:t>. For example, in the Maralinga case study (</w:t>
      </w:r>
      <w:r w:rsidR="001413D9">
        <w:t>Section A.2</w:t>
      </w:r>
      <w:r w:rsidRPr="00B264DF">
        <w:t xml:space="preserve">), remediation of large amounts of soil to reduce annual effective doses below 1 mSv would </w:t>
      </w:r>
      <w:r w:rsidRPr="00B264DF">
        <w:lastRenderedPageBreak/>
        <w:t>have resulted in an unjustifiable expenditure of environmental and cultural resources</w:t>
      </w:r>
      <w:r w:rsidR="00306725">
        <w:t xml:space="preserve">. </w:t>
      </w:r>
      <w:proofErr w:type="gramStart"/>
      <w:r w:rsidR="00306725">
        <w:t>T</w:t>
      </w:r>
      <w:r w:rsidRPr="00B264DF">
        <w:t>hus</w:t>
      </w:r>
      <w:proofErr w:type="gramEnd"/>
      <w:r w:rsidRPr="00B264DF">
        <w:t xml:space="preserve"> a higher reference level was established</w:t>
      </w:r>
      <w:r w:rsidR="006D5B6A" w:rsidRPr="00B264DF">
        <w:t xml:space="preserve"> </w:t>
      </w:r>
      <w:r w:rsidR="00174C64" w:rsidRPr="00B264DF">
        <w:t xml:space="preserve">after </w:t>
      </w:r>
      <w:r w:rsidR="00BA7E0E" w:rsidRPr="00B264DF">
        <w:t xml:space="preserve">a </w:t>
      </w:r>
      <w:r w:rsidR="00174C64" w:rsidRPr="00B264DF">
        <w:t>stakeholder involvement</w:t>
      </w:r>
      <w:r w:rsidR="007575FE" w:rsidRPr="00B264DF">
        <w:t xml:space="preserve"> </w:t>
      </w:r>
      <w:r w:rsidR="00BA7E0E" w:rsidRPr="00B264DF">
        <w:t xml:space="preserve">process </w:t>
      </w:r>
      <w:r w:rsidR="007575FE" w:rsidRPr="00B264DF">
        <w:t xml:space="preserve">that included </w:t>
      </w:r>
      <w:r w:rsidR="00174C64" w:rsidRPr="00B264DF">
        <w:t xml:space="preserve">consultation with </w:t>
      </w:r>
      <w:r w:rsidR="002C26C0" w:rsidRPr="00B264DF">
        <w:t>indigenous people and the traditional owners of the land</w:t>
      </w:r>
      <w:r w:rsidRPr="00B264DF">
        <w:t xml:space="preserve">. Likewise, the </w:t>
      </w:r>
      <w:r w:rsidR="00B25333" w:rsidRPr="00B264DF">
        <w:t xml:space="preserve">stakeholder-influenced </w:t>
      </w:r>
      <w:r w:rsidRPr="00B264DF">
        <w:t xml:space="preserve">decision </w:t>
      </w:r>
      <w:r w:rsidR="00AE5811">
        <w:t xml:space="preserve">for the creation of a wildlife </w:t>
      </w:r>
      <w:r w:rsidR="00376972">
        <w:t>refuge</w:t>
      </w:r>
      <w:r w:rsidR="00AE5811">
        <w:t xml:space="preserve"> at</w:t>
      </w:r>
      <w:r w:rsidRPr="00B264DF">
        <w:t xml:space="preserve"> Rocky Flats (</w:t>
      </w:r>
      <w:r w:rsidR="001413D9">
        <w:t>Section A.1</w:t>
      </w:r>
      <w:r w:rsidRPr="00B264DF">
        <w:t>)</w:t>
      </w:r>
      <w:r w:rsidR="006F4B56">
        <w:t xml:space="preserve"> </w:t>
      </w:r>
      <w:r w:rsidRPr="00B264DF">
        <w:t xml:space="preserve">took into consideration </w:t>
      </w:r>
      <w:r w:rsidR="00FB21B5">
        <w:t xml:space="preserve">the </w:t>
      </w:r>
      <w:r w:rsidRPr="00B264DF">
        <w:t>economic,</w:t>
      </w:r>
      <w:r w:rsidR="00685042" w:rsidRPr="00B264DF">
        <w:t xml:space="preserve"> </w:t>
      </w:r>
      <w:r w:rsidRPr="00B264DF">
        <w:t xml:space="preserve">as well as environmental costs of removing large amounts of contaminated soil. Moreover, remediation </w:t>
      </w:r>
      <w:r w:rsidR="00B4102C" w:rsidRPr="00B264DF">
        <w:t xml:space="preserve">decisions </w:t>
      </w:r>
      <w:r w:rsidRPr="00B264DF">
        <w:t>consider</w:t>
      </w:r>
      <w:r w:rsidR="00B4102C" w:rsidRPr="00B264DF">
        <w:t>ed</w:t>
      </w:r>
      <w:r w:rsidRPr="00B264DF">
        <w:t xml:space="preserve"> the radi</w:t>
      </w:r>
      <w:r w:rsidR="007B17DB" w:rsidRPr="00B264DF">
        <w:t xml:space="preserve">ation </w:t>
      </w:r>
      <w:r w:rsidRPr="00B264DF">
        <w:t xml:space="preserve">risks to workers performing the remediation and </w:t>
      </w:r>
      <w:r w:rsidR="00747BE1" w:rsidRPr="00B264DF">
        <w:t xml:space="preserve">to </w:t>
      </w:r>
      <w:r w:rsidRPr="00B264DF">
        <w:t xml:space="preserve">the nearby public from the remediation activities themselves, in addition to the </w:t>
      </w:r>
      <w:r w:rsidR="00DB09A1">
        <w:t xml:space="preserve">costs of the </w:t>
      </w:r>
      <w:r w:rsidRPr="00B264DF">
        <w:t xml:space="preserve">shipping and disposal of the waste material derived from remediation activities. Decisions regarding the ultimate remediation </w:t>
      </w:r>
      <w:r w:rsidR="00644194">
        <w:t>strategy</w:t>
      </w:r>
      <w:r w:rsidRPr="00B264DF">
        <w:t xml:space="preserve"> </w:t>
      </w:r>
      <w:r w:rsidR="00041E2F" w:rsidRPr="00B264DF">
        <w:t xml:space="preserve">thus </w:t>
      </w:r>
      <w:r w:rsidRPr="00B264DF">
        <w:t>considered not only the radiation dose</w:t>
      </w:r>
      <w:r w:rsidR="00E84406">
        <w:t xml:space="preserve"> </w:t>
      </w:r>
      <w:r w:rsidRPr="00B264DF">
        <w:t xml:space="preserve">but </w:t>
      </w:r>
      <w:r w:rsidR="00E84406">
        <w:t xml:space="preserve">also </w:t>
      </w:r>
      <w:r w:rsidRPr="00B264DF">
        <w:t>the costs and risks of remediation, disruption of the environment, and cultural disruption.</w:t>
      </w:r>
    </w:p>
    <w:p w14:paraId="4EB9A95C" w14:textId="735ABF95" w:rsidR="00A405B0" w:rsidRPr="00B00253" w:rsidRDefault="00BD3472" w:rsidP="000771AC">
      <w:pPr>
        <w:pStyle w:val="ICRPnumberedparagraph"/>
        <w:numPr>
          <w:ilvl w:val="0"/>
          <w:numId w:val="13"/>
        </w:numPr>
        <w:tabs>
          <w:tab w:val="num" w:pos="630"/>
        </w:tabs>
        <w:ind w:left="0"/>
      </w:pPr>
      <w:r w:rsidRPr="00B264DF">
        <w:t xml:space="preserve">Protection of the environment from radiation exposure </w:t>
      </w:r>
      <w:r w:rsidR="000A2AE8" w:rsidRPr="00B264DF">
        <w:t>has been included in the analyses of the above case</w:t>
      </w:r>
      <w:r w:rsidR="00895A25">
        <w:t xml:space="preserve"> studies</w:t>
      </w:r>
      <w:r w:rsidR="000A2AE8" w:rsidRPr="00B264DF">
        <w:t xml:space="preserve"> but </w:t>
      </w:r>
      <w:r w:rsidRPr="00B264DF">
        <w:t>appears to have played little part in the decisions made. A more significant issue has been avoid</w:t>
      </w:r>
      <w:r w:rsidR="000605A8">
        <w:t>ing</w:t>
      </w:r>
      <w:r w:rsidRPr="00B264DF">
        <w:t xml:space="preserve"> </w:t>
      </w:r>
      <w:r w:rsidR="000F162B">
        <w:t xml:space="preserve">environmental </w:t>
      </w:r>
      <w:r w:rsidRPr="00B264DF">
        <w:t xml:space="preserve">damage </w:t>
      </w:r>
      <w:r w:rsidR="004279C9">
        <w:t>from</w:t>
      </w:r>
      <w:r w:rsidRPr="00B264DF">
        <w:t xml:space="preserve"> remediation processes, such as soil removal. Further examples and case studies are </w:t>
      </w:r>
      <w:r w:rsidRPr="00B00253">
        <w:t xml:space="preserve">discussed in </w:t>
      </w:r>
      <w:proofErr w:type="spellStart"/>
      <w:r w:rsidRPr="00B00253">
        <w:t>Copplestone</w:t>
      </w:r>
      <w:proofErr w:type="spellEnd"/>
      <w:r w:rsidRPr="00B00253">
        <w:t xml:space="preserve"> et al</w:t>
      </w:r>
      <w:r w:rsidR="00020D0A">
        <w:t>.</w:t>
      </w:r>
      <w:r w:rsidRPr="00B00253">
        <w:t xml:space="preserve"> (20</w:t>
      </w:r>
      <w:r w:rsidR="0097510C">
        <w:t>17</w:t>
      </w:r>
      <w:r w:rsidR="00925EF8">
        <w:t>, 2020</w:t>
      </w:r>
      <w:r w:rsidRPr="00B00253">
        <w:t>)</w:t>
      </w:r>
      <w:r w:rsidR="00925EF8">
        <w:t>.</w:t>
      </w:r>
      <w:r w:rsidR="005D3452">
        <w:t xml:space="preserve"> </w:t>
      </w:r>
    </w:p>
    <w:p w14:paraId="43A31AB1" w14:textId="77777777" w:rsidR="00A405B0" w:rsidRDefault="00A405B0">
      <w:pPr>
        <w:rPr>
          <w:rFonts w:eastAsia="ＭＳ 明朝"/>
          <w:color w:val="000000" w:themeColor="text1"/>
          <w:szCs w:val="22"/>
          <w:lang w:val="en-US"/>
        </w:rPr>
      </w:pPr>
      <w:r>
        <w:rPr>
          <w:color w:val="000000" w:themeColor="text1"/>
          <w:lang w:val="en-US"/>
        </w:rPr>
        <w:br w:type="page"/>
      </w:r>
    </w:p>
    <w:p w14:paraId="6343E432" w14:textId="191FAB01" w:rsidR="00B264DF" w:rsidRDefault="00351405" w:rsidP="009F6388">
      <w:pPr>
        <w:pStyle w:val="AnnalshdgA"/>
        <w:numPr>
          <w:ilvl w:val="0"/>
          <w:numId w:val="42"/>
        </w:numPr>
        <w:rPr>
          <w:rFonts w:eastAsia="PMingLiU"/>
          <w:caps w:val="0"/>
          <w:snapToGrid w:val="0"/>
          <w:kern w:val="0"/>
          <w:lang w:val="en-CA" w:eastAsia="en-US"/>
        </w:rPr>
      </w:pPr>
      <w:bookmarkStart w:id="36" w:name="_Toc159397467"/>
      <w:bookmarkStart w:id="37" w:name="_Toc166586805"/>
      <w:r>
        <w:rPr>
          <w:rFonts w:eastAsia="PMingLiU"/>
          <w:caps w:val="0"/>
          <w:snapToGrid w:val="0"/>
          <w:kern w:val="0"/>
          <w:lang w:val="en-CA" w:eastAsia="en-US"/>
        </w:rPr>
        <w:lastRenderedPageBreak/>
        <w:t xml:space="preserve">FUNDAMENTAL CONSIDERATIONS OF THE </w:t>
      </w:r>
      <w:r w:rsidR="00DE0690" w:rsidRPr="005813E9">
        <w:rPr>
          <w:rFonts w:eastAsia="PMingLiU"/>
          <w:caps w:val="0"/>
          <w:snapToGrid w:val="0"/>
          <w:kern w:val="0"/>
          <w:lang w:val="en-CA" w:eastAsia="en-US"/>
        </w:rPr>
        <w:t>APPLICATION OF THE SYSTEM OF RADIOLOGICAL PROTECTION</w:t>
      </w:r>
      <w:bookmarkEnd w:id="36"/>
      <w:bookmarkEnd w:id="37"/>
    </w:p>
    <w:p w14:paraId="412FF72C" w14:textId="1DE4E1CF" w:rsidR="00B30771" w:rsidRPr="001847F9" w:rsidRDefault="001847F9" w:rsidP="00BE03BD">
      <w:pPr>
        <w:pStyle w:val="2"/>
        <w:numPr>
          <w:ilvl w:val="1"/>
          <w:numId w:val="42"/>
        </w:numPr>
        <w:spacing w:before="480"/>
        <w:jc w:val="left"/>
      </w:pPr>
      <w:bookmarkStart w:id="38" w:name="_Hlk128584924"/>
      <w:bookmarkStart w:id="39" w:name="_Toc159397468"/>
      <w:bookmarkStart w:id="40" w:name="_Toc166586806"/>
      <w:bookmarkStart w:id="41" w:name="_Hlk128587546"/>
      <w:bookmarkStart w:id="42" w:name="_Toc117873827"/>
      <w:r w:rsidRPr="001847F9">
        <w:rPr>
          <w:rFonts w:eastAsia="PMingLiU"/>
          <w:caps/>
          <w:snapToGrid w:val="0"/>
          <w:lang w:val="en-CA" w:eastAsia="en-US"/>
        </w:rPr>
        <w:t>T</w:t>
      </w:r>
      <w:r w:rsidR="00F46034" w:rsidRPr="001847F9">
        <w:t>he radiological protection system and ethical considerations</w:t>
      </w:r>
      <w:bookmarkEnd w:id="38"/>
      <w:bookmarkEnd w:id="39"/>
      <w:bookmarkEnd w:id="40"/>
    </w:p>
    <w:bookmarkEnd w:id="41"/>
    <w:p w14:paraId="682A1A04" w14:textId="394DED5D" w:rsidR="00DE0690" w:rsidRPr="00E86217" w:rsidRDefault="00DE0690" w:rsidP="00DE0690">
      <w:pPr>
        <w:pStyle w:val="ICRPnumberedparagraph"/>
        <w:numPr>
          <w:ilvl w:val="0"/>
          <w:numId w:val="13"/>
        </w:numPr>
        <w:tabs>
          <w:tab w:val="num" w:pos="630"/>
        </w:tabs>
        <w:ind w:left="0" w:firstLine="284"/>
      </w:pPr>
      <w:r w:rsidRPr="00E86217">
        <w:t xml:space="preserve">The system of radiological protection, as described in the 2007 Recommendations (ICRP, 2007), </w:t>
      </w:r>
      <w:r>
        <w:t>relies</w:t>
      </w:r>
      <w:r w:rsidRPr="00E86217">
        <w:t xml:space="preserve"> on three fundamental principles: justification, optimisation of protection</w:t>
      </w:r>
      <w:r w:rsidR="007D7356">
        <w:t>,</w:t>
      </w:r>
      <w:r w:rsidRPr="00E86217">
        <w:t xml:space="preserve"> and application of dose limits. Justification and optimisation are applied to the three types of exposure situations considered by the Commission to organ</w:t>
      </w:r>
      <w:r w:rsidR="002D67F8">
        <w:t>is</w:t>
      </w:r>
      <w:r w:rsidRPr="00E86217">
        <w:t>e radiological protection: planned exposure situations, emergency exposure situations</w:t>
      </w:r>
      <w:r w:rsidR="007D7356">
        <w:t>,</w:t>
      </w:r>
      <w:r w:rsidRPr="00E86217">
        <w:t xml:space="preserve"> and existing exposure situations</w:t>
      </w:r>
      <w:r w:rsidR="007E4BC7">
        <w:t>.</w:t>
      </w:r>
      <w:r w:rsidRPr="00E86217">
        <w:t xml:space="preserve"> </w:t>
      </w:r>
      <w:r w:rsidR="007E4BC7">
        <w:t>D</w:t>
      </w:r>
      <w:r w:rsidRPr="00E86217">
        <w:t>ose limits are applied in planned exposure situations other than medical exposures.</w:t>
      </w:r>
    </w:p>
    <w:p w14:paraId="336CB2FD" w14:textId="2E2234C3" w:rsidR="00DE0690" w:rsidRDefault="00DE0690" w:rsidP="00411562">
      <w:pPr>
        <w:pStyle w:val="ICRPnumberedparagraph"/>
        <w:numPr>
          <w:ilvl w:val="0"/>
          <w:numId w:val="13"/>
        </w:numPr>
        <w:tabs>
          <w:tab w:val="num" w:pos="630"/>
        </w:tabs>
        <w:ind w:left="0" w:firstLine="284"/>
      </w:pPr>
      <w:r w:rsidRPr="00E86217">
        <w:t>The system of radiological protection has a s</w:t>
      </w:r>
      <w:r w:rsidR="00146CF1">
        <w:t>olid</w:t>
      </w:r>
      <w:r w:rsidRPr="00E86217">
        <w:t xml:space="preserve"> ethical foundation</w:t>
      </w:r>
      <w:r w:rsidR="001614D7">
        <w:t xml:space="preserve"> that </w:t>
      </w:r>
      <w:r w:rsidR="001614D7" w:rsidRPr="00E86217">
        <w:t>underlie</w:t>
      </w:r>
      <w:r w:rsidR="00F46034">
        <w:t>s</w:t>
      </w:r>
      <w:r w:rsidR="001614D7" w:rsidRPr="00E86217">
        <w:t xml:space="preserve"> the three main principles of radiological protection</w:t>
      </w:r>
      <w:r w:rsidR="001614D7">
        <w:t>. Th</w:t>
      </w:r>
      <w:r w:rsidR="00F46034">
        <w:t>is</w:t>
      </w:r>
      <w:r w:rsidR="001614D7">
        <w:t xml:space="preserve"> </w:t>
      </w:r>
      <w:r w:rsidR="001614D7" w:rsidRPr="00E86217">
        <w:t>ethical foundation</w:t>
      </w:r>
      <w:r w:rsidR="001614D7">
        <w:t xml:space="preserve"> </w:t>
      </w:r>
      <w:r w:rsidR="00F46034">
        <w:t>is</w:t>
      </w:r>
      <w:r w:rsidR="001614D7">
        <w:t xml:space="preserve"> </w:t>
      </w:r>
      <w:r w:rsidRPr="00E86217">
        <w:t xml:space="preserve">elaborated in </w:t>
      </w:r>
      <w:r w:rsidRPr="00AE73D5">
        <w:rPr>
          <w:i/>
          <w:iCs/>
        </w:rPr>
        <w:t>Publication 138</w:t>
      </w:r>
      <w:r w:rsidRPr="00E86217">
        <w:t xml:space="preserve"> (ICRP, 2018), with particular attention given to four core ethical values: beneficence/non-maleficence, prudence, justice</w:t>
      </w:r>
      <w:r w:rsidR="00554304">
        <w:t>,</w:t>
      </w:r>
      <w:r w:rsidRPr="00E86217">
        <w:t xml:space="preserve"> and dignity. </w:t>
      </w:r>
    </w:p>
    <w:p w14:paraId="6C1B50D3" w14:textId="4B769909" w:rsidR="00DE0690" w:rsidRPr="001505A4" w:rsidRDefault="00DE0690" w:rsidP="00667C97">
      <w:pPr>
        <w:pStyle w:val="afa"/>
        <w:numPr>
          <w:ilvl w:val="0"/>
          <w:numId w:val="28"/>
        </w:numPr>
        <w:spacing w:before="240"/>
        <w:ind w:left="284"/>
        <w:contextualSpacing/>
        <w:jc w:val="both"/>
        <w:rPr>
          <w:rFonts w:ascii="Times New Roman" w:hAnsi="Times New Roman"/>
          <w:color w:val="000000"/>
          <w:sz w:val="24"/>
          <w:szCs w:val="24"/>
          <w:lang w:val="en-GB"/>
        </w:rPr>
      </w:pPr>
      <w:r w:rsidRPr="00E86217">
        <w:rPr>
          <w:rFonts w:ascii="Times New Roman" w:hAnsi="Times New Roman"/>
          <w:color w:val="000000"/>
          <w:sz w:val="24"/>
          <w:szCs w:val="24"/>
          <w:lang w:val="en-GB"/>
        </w:rPr>
        <w:t xml:space="preserve">Beneficence/non-maleficence: promoting or doing good and avoiding doing harm. This is reflected, for example, in the primary aim of the system of radiological protection of </w:t>
      </w:r>
      <w:r w:rsidR="00F46034">
        <w:rPr>
          <w:rFonts w:ascii="Times New Roman" w:hAnsi="Times New Roman"/>
          <w:color w:val="000000"/>
          <w:sz w:val="24"/>
          <w:szCs w:val="24"/>
          <w:lang w:val="en-GB"/>
        </w:rPr>
        <w:t xml:space="preserve">providing </w:t>
      </w:r>
      <w:r w:rsidRPr="00E86217">
        <w:rPr>
          <w:rFonts w:ascii="Times New Roman" w:hAnsi="Times New Roman"/>
          <w:color w:val="000000"/>
          <w:sz w:val="24"/>
          <w:szCs w:val="24"/>
          <w:lang w:val="en-GB"/>
        </w:rPr>
        <w:t>an appropriate level of protection without unduly limiting desirable human actions.</w:t>
      </w:r>
    </w:p>
    <w:p w14:paraId="6EF8A257" w14:textId="643A708D" w:rsidR="00DE0690" w:rsidRPr="001505A4" w:rsidRDefault="00DE0690" w:rsidP="00667C97">
      <w:pPr>
        <w:pStyle w:val="afa"/>
        <w:numPr>
          <w:ilvl w:val="0"/>
          <w:numId w:val="28"/>
        </w:numPr>
        <w:ind w:left="284"/>
        <w:contextualSpacing/>
        <w:jc w:val="both"/>
        <w:rPr>
          <w:rFonts w:ascii="Times New Roman" w:hAnsi="Times New Roman"/>
          <w:color w:val="000000"/>
          <w:sz w:val="24"/>
          <w:szCs w:val="24"/>
          <w:lang w:val="en-GB"/>
        </w:rPr>
      </w:pPr>
      <w:r w:rsidRPr="00E86217">
        <w:rPr>
          <w:rFonts w:ascii="Times New Roman" w:hAnsi="Times New Roman"/>
          <w:color w:val="000000"/>
          <w:sz w:val="24"/>
          <w:szCs w:val="24"/>
          <w:lang w:val="en-GB"/>
        </w:rPr>
        <w:t xml:space="preserve">Prudence: making informed and carefully considered choices without full knowledge of the scope and consequences of an action. Prudence is reflected, for example, </w:t>
      </w:r>
      <w:r w:rsidR="009A7B15">
        <w:rPr>
          <w:rFonts w:ascii="Times New Roman" w:hAnsi="Times New Roman"/>
          <w:color w:val="000000"/>
          <w:sz w:val="24"/>
          <w:szCs w:val="24"/>
          <w:lang w:val="en-GB"/>
        </w:rPr>
        <w:t>b</w:t>
      </w:r>
      <w:r w:rsidR="0067101D">
        <w:rPr>
          <w:rFonts w:ascii="Times New Roman" w:hAnsi="Times New Roman"/>
          <w:color w:val="000000"/>
          <w:sz w:val="24"/>
          <w:szCs w:val="24"/>
          <w:lang w:val="en-GB"/>
        </w:rPr>
        <w:t xml:space="preserve">y </w:t>
      </w:r>
      <w:r w:rsidRPr="00E86217">
        <w:rPr>
          <w:rFonts w:ascii="Times New Roman" w:hAnsi="Times New Roman"/>
          <w:color w:val="000000"/>
          <w:sz w:val="24"/>
          <w:szCs w:val="24"/>
          <w:lang w:val="en-GB"/>
        </w:rPr>
        <w:t>consider</w:t>
      </w:r>
      <w:r w:rsidR="0067101D">
        <w:rPr>
          <w:rFonts w:ascii="Times New Roman" w:hAnsi="Times New Roman"/>
          <w:color w:val="000000"/>
          <w:sz w:val="24"/>
          <w:szCs w:val="24"/>
          <w:lang w:val="en-GB"/>
        </w:rPr>
        <w:t xml:space="preserve">ing the </w:t>
      </w:r>
      <w:r w:rsidRPr="00E86217">
        <w:rPr>
          <w:rFonts w:ascii="Times New Roman" w:hAnsi="Times New Roman"/>
          <w:color w:val="000000"/>
          <w:sz w:val="24"/>
          <w:szCs w:val="24"/>
          <w:lang w:val="en-GB"/>
        </w:rPr>
        <w:t>uncertainty of radiation risks for both humans and the environment.</w:t>
      </w:r>
    </w:p>
    <w:p w14:paraId="5378CED4" w14:textId="7ED7AF9C" w:rsidR="00DE0690" w:rsidRPr="001505A4" w:rsidRDefault="00DE0690" w:rsidP="00667C97">
      <w:pPr>
        <w:pStyle w:val="afa"/>
        <w:numPr>
          <w:ilvl w:val="0"/>
          <w:numId w:val="28"/>
        </w:numPr>
        <w:ind w:left="284"/>
        <w:contextualSpacing/>
        <w:jc w:val="both"/>
        <w:rPr>
          <w:rFonts w:ascii="Times New Roman" w:hAnsi="Times New Roman"/>
          <w:color w:val="000000"/>
          <w:sz w:val="24"/>
          <w:szCs w:val="24"/>
          <w:lang w:val="en-GB"/>
        </w:rPr>
      </w:pPr>
      <w:r w:rsidRPr="00E86217">
        <w:rPr>
          <w:rFonts w:ascii="Times New Roman" w:hAnsi="Times New Roman"/>
          <w:color w:val="000000"/>
          <w:sz w:val="24"/>
          <w:szCs w:val="24"/>
          <w:lang w:val="en-GB"/>
        </w:rPr>
        <w:t>Justice: fairness in the distribution of advantages and disadvantages. Justice is a key value underlying, for example, individual dose restrictions that aim to prevent any individual from receiving an unfair burden of risk or costs.</w:t>
      </w:r>
    </w:p>
    <w:p w14:paraId="5CA37228" w14:textId="7B74A0B3" w:rsidR="00DE0690" w:rsidRPr="00E86217" w:rsidRDefault="00DE0690" w:rsidP="00667C97">
      <w:pPr>
        <w:pStyle w:val="afa"/>
        <w:numPr>
          <w:ilvl w:val="0"/>
          <w:numId w:val="28"/>
        </w:numPr>
        <w:spacing w:after="240"/>
        <w:ind w:left="284"/>
        <w:contextualSpacing/>
        <w:jc w:val="both"/>
        <w:rPr>
          <w:rFonts w:ascii="Times New Roman" w:hAnsi="Times New Roman"/>
          <w:color w:val="000000"/>
          <w:sz w:val="24"/>
          <w:szCs w:val="24"/>
          <w:lang w:val="en-GB"/>
        </w:rPr>
      </w:pPr>
      <w:r w:rsidRPr="00E86217">
        <w:rPr>
          <w:rFonts w:ascii="Times New Roman" w:hAnsi="Times New Roman"/>
          <w:color w:val="000000"/>
          <w:sz w:val="24"/>
          <w:szCs w:val="24"/>
          <w:lang w:val="en-GB"/>
        </w:rPr>
        <w:t>Dignity: the unconditional respect that every person deserves, irrespective of personal attributes or circumstances. Personal autonomy is a corollary of human dignity. This underlies, for example, the importance placed on stakeholder participation and the empowerment of individuals to make their informed decisions.</w:t>
      </w:r>
    </w:p>
    <w:p w14:paraId="055F4BE4" w14:textId="15B8DE75" w:rsidR="00DE0690" w:rsidRDefault="00905E58" w:rsidP="00E42C79">
      <w:pPr>
        <w:pStyle w:val="ICRPnumberedparagraph"/>
        <w:numPr>
          <w:ilvl w:val="0"/>
          <w:numId w:val="13"/>
        </w:numPr>
        <w:tabs>
          <w:tab w:val="num" w:pos="630"/>
        </w:tabs>
        <w:ind w:left="0" w:firstLine="284"/>
      </w:pPr>
      <w:r>
        <w:t>I</w:t>
      </w:r>
      <w:r w:rsidR="001614D7">
        <w:t xml:space="preserve">mplementation of </w:t>
      </w:r>
      <w:r w:rsidR="00F46034">
        <w:t xml:space="preserve">a </w:t>
      </w:r>
      <w:r w:rsidR="001614D7">
        <w:t>protection strategy for manag</w:t>
      </w:r>
      <w:r w:rsidR="00711882">
        <w:t>ing</w:t>
      </w:r>
      <w:r w:rsidR="001614D7">
        <w:t xml:space="preserve"> exposures resulting from contaminated areas from past activities</w:t>
      </w:r>
      <w:r w:rsidR="00DE0690" w:rsidRPr="00E86217">
        <w:t xml:space="preserve"> should </w:t>
      </w:r>
      <w:r>
        <w:t xml:space="preserve">thus </w:t>
      </w:r>
      <w:r w:rsidR="00DE0690" w:rsidRPr="00E86217">
        <w:t xml:space="preserve">result in doing more good than harm, </w:t>
      </w:r>
      <w:r w:rsidR="00667CF2">
        <w:t xml:space="preserve">avoiding </w:t>
      </w:r>
      <w:r w:rsidR="00DE0690" w:rsidRPr="00E86217">
        <w:t>unnecessary risk, avoiding unfair distribution of risk</w:t>
      </w:r>
      <w:r w:rsidR="00E42C79">
        <w:t>,</w:t>
      </w:r>
      <w:r w:rsidR="00DE0690" w:rsidRPr="00E86217">
        <w:t xml:space="preserve"> and </w:t>
      </w:r>
      <w:r w:rsidR="00E50973">
        <w:t xml:space="preserve">treating </w:t>
      </w:r>
      <w:r w:rsidR="00DE0690" w:rsidRPr="00E86217">
        <w:t xml:space="preserve">people </w:t>
      </w:r>
      <w:r w:rsidR="001614D7">
        <w:t xml:space="preserve">with respect. </w:t>
      </w:r>
      <w:r>
        <w:t>T</w:t>
      </w:r>
      <w:r w:rsidR="00DE0690" w:rsidRPr="00E86217">
        <w:t>he system of protection also relies on procedural ethical values: accountability, transparency</w:t>
      </w:r>
      <w:r w:rsidR="005603C4">
        <w:t>,</w:t>
      </w:r>
      <w:r w:rsidR="00DE0690" w:rsidRPr="00E86217">
        <w:t xml:space="preserve"> and inclusiveness (ICRP, 2018).</w:t>
      </w:r>
    </w:p>
    <w:p w14:paraId="33EF17C3" w14:textId="1C9CB4CA" w:rsidR="00905E58" w:rsidRDefault="00DE0690" w:rsidP="00510C79">
      <w:pPr>
        <w:pStyle w:val="ICRPnumberedparagraph"/>
        <w:numPr>
          <w:ilvl w:val="0"/>
          <w:numId w:val="13"/>
        </w:numPr>
        <w:tabs>
          <w:tab w:val="num" w:pos="630"/>
        </w:tabs>
        <w:ind w:left="0" w:firstLine="284"/>
      </w:pPr>
      <w:r w:rsidRPr="00E86217">
        <w:t xml:space="preserve">While the system of radiological protection is concerned with ensuring adequate protection of people and the environment, </w:t>
      </w:r>
      <w:r w:rsidR="00E42C79">
        <w:t>its</w:t>
      </w:r>
      <w:r w:rsidR="00E42C79" w:rsidRPr="00E86217">
        <w:t xml:space="preserve"> </w:t>
      </w:r>
      <w:r w:rsidRPr="00E86217">
        <w:t>ethical values guide considerations of how protection is best achieved while being mindful of possible unintended consequences</w:t>
      </w:r>
      <w:r w:rsidR="00510C79">
        <w:t xml:space="preserve">. </w:t>
      </w:r>
      <w:r w:rsidRPr="00E86217">
        <w:t>The Commission continues to recommend that individuals and populations in the future should be afforded at least the same level of protection as the current generation</w:t>
      </w:r>
      <w:r w:rsidR="0020076E">
        <w:t>.</w:t>
      </w:r>
      <w:r w:rsidR="0020076E" w:rsidRPr="0020076E">
        <w:t xml:space="preserve"> </w:t>
      </w:r>
    </w:p>
    <w:p w14:paraId="766F5493" w14:textId="7D9376A9" w:rsidR="00905E58" w:rsidRDefault="00220F8A" w:rsidP="00D22AC8">
      <w:pPr>
        <w:pStyle w:val="ICRPnumberedparagraph"/>
        <w:numPr>
          <w:ilvl w:val="0"/>
          <w:numId w:val="13"/>
        </w:numPr>
        <w:tabs>
          <w:tab w:val="num" w:pos="630"/>
        </w:tabs>
        <w:ind w:left="0"/>
      </w:pPr>
      <w:r w:rsidRPr="00220F8A">
        <w:t xml:space="preserve">The principles set out in the United Nations’ Rio Declaration on Environment and Development </w:t>
      </w:r>
      <w:r w:rsidR="00762FA6">
        <w:t>(</w:t>
      </w:r>
      <w:r w:rsidRPr="00220F8A">
        <w:t>U</w:t>
      </w:r>
      <w:r w:rsidR="00300DA8">
        <w:t>nited</w:t>
      </w:r>
      <w:r w:rsidRPr="00220F8A">
        <w:t xml:space="preserve"> N</w:t>
      </w:r>
      <w:r w:rsidR="00300DA8">
        <w:t>ations</w:t>
      </w:r>
      <w:r w:rsidRPr="00220F8A">
        <w:t>, 1992</w:t>
      </w:r>
      <w:r w:rsidR="00762FA6">
        <w:t>)</w:t>
      </w:r>
      <w:r w:rsidRPr="00220F8A">
        <w:t xml:space="preserve"> encompass concepts that are important to the application of sustainable remediation, such as intergenerational equity, environmental </w:t>
      </w:r>
      <w:proofErr w:type="gramStart"/>
      <w:r w:rsidRPr="00220F8A">
        <w:t>protection</w:t>
      </w:r>
      <w:proofErr w:type="gramEnd"/>
      <w:r w:rsidRPr="00220F8A">
        <w:t xml:space="preserve"> and waste minimi</w:t>
      </w:r>
      <w:r w:rsidR="00264B79">
        <w:t>s</w:t>
      </w:r>
      <w:r w:rsidRPr="00220F8A">
        <w:t>ation</w:t>
      </w:r>
      <w:r>
        <w:t xml:space="preserve">. </w:t>
      </w:r>
      <w:r w:rsidR="00D078E1" w:rsidRPr="00667C97">
        <w:rPr>
          <w:i/>
          <w:iCs/>
        </w:rPr>
        <w:t>Publication 91</w:t>
      </w:r>
      <w:r w:rsidR="00D078E1" w:rsidRPr="00D078E1">
        <w:t xml:space="preserve"> (ICRP, 2003) highlights sustainable development as an important principle in </w:t>
      </w:r>
      <w:r w:rsidR="00D078E1">
        <w:t>environmental radiation protection</w:t>
      </w:r>
      <w:r w:rsidR="00D078E1" w:rsidRPr="00D078E1">
        <w:t xml:space="preserve">, defining it as relating to </w:t>
      </w:r>
      <w:r w:rsidR="00D078E1" w:rsidRPr="00667C97">
        <w:rPr>
          <w:i/>
          <w:iCs/>
        </w:rPr>
        <w:t xml:space="preserve">the need to recognise the interdependence of economic development, environmental protection, and social equity, and thus the obligation also to protect and provide for both the human and </w:t>
      </w:r>
      <w:r w:rsidR="00D078E1" w:rsidRPr="00667C97">
        <w:rPr>
          <w:i/>
          <w:iCs/>
        </w:rPr>
        <w:lastRenderedPageBreak/>
        <w:t>environmental needs of present and future generations</w:t>
      </w:r>
      <w:r w:rsidR="00D078E1" w:rsidRPr="00D078E1">
        <w:t xml:space="preserve">. </w:t>
      </w:r>
      <w:r w:rsidR="00905E58">
        <w:t>S</w:t>
      </w:r>
      <w:r w:rsidR="00D078E1" w:rsidRPr="00D078E1">
        <w:t xml:space="preserve">ustainable development </w:t>
      </w:r>
      <w:r w:rsidR="00492E38">
        <w:t xml:space="preserve">is </w:t>
      </w:r>
      <w:r w:rsidR="004E480D">
        <w:t xml:space="preserve">related </w:t>
      </w:r>
      <w:r w:rsidR="004E480D" w:rsidRPr="00D078E1">
        <w:t>to</w:t>
      </w:r>
      <w:r w:rsidR="00D078E1" w:rsidRPr="00D078E1">
        <w:t xml:space="preserve"> </w:t>
      </w:r>
      <w:r w:rsidR="00022512">
        <w:t xml:space="preserve">the </w:t>
      </w:r>
      <w:r w:rsidR="00D078E1" w:rsidRPr="00D078E1">
        <w:t>System’s core ethical values of prudence and justice</w:t>
      </w:r>
      <w:r w:rsidR="00492E38">
        <w:t>.</w:t>
      </w:r>
      <w:r w:rsidR="00D078E1" w:rsidRPr="00D078E1">
        <w:t xml:space="preserve"> </w:t>
      </w:r>
      <w:r w:rsidR="00CD6C06">
        <w:t xml:space="preserve">As described in a recent Nuclear Energy Agency </w:t>
      </w:r>
      <w:r w:rsidR="00A236CB">
        <w:t xml:space="preserve">(NEA) </w:t>
      </w:r>
      <w:r w:rsidR="00CD6C06">
        <w:t>report</w:t>
      </w:r>
      <w:r w:rsidR="00A0663C">
        <w:t xml:space="preserve"> </w:t>
      </w:r>
      <w:r w:rsidR="009A33E3">
        <w:t>(</w:t>
      </w:r>
      <w:r w:rsidR="00A0663C">
        <w:t>NEA, 2019</w:t>
      </w:r>
      <w:r w:rsidR="009A33E3">
        <w:t>)</w:t>
      </w:r>
      <w:r w:rsidR="00022512">
        <w:t xml:space="preserve">, </w:t>
      </w:r>
      <w:r w:rsidR="009D6BBE">
        <w:t>t</w:t>
      </w:r>
      <w:r w:rsidR="00022512">
        <w:t>he</w:t>
      </w:r>
      <w:r w:rsidR="0020076E">
        <w:t xml:space="preserve"> principle of </w:t>
      </w:r>
      <w:r w:rsidR="00CD6C06">
        <w:t>‘</w:t>
      </w:r>
      <w:r w:rsidR="0020076E">
        <w:t>sustainability</w:t>
      </w:r>
      <w:r w:rsidR="00CD6C06">
        <w:t xml:space="preserve">’ </w:t>
      </w:r>
      <w:r w:rsidR="0020076E">
        <w:t>emphasises the importance of taking an intra</w:t>
      </w:r>
      <w:r w:rsidR="00095379">
        <w:t>-</w:t>
      </w:r>
      <w:r w:rsidR="0020076E">
        <w:t xml:space="preserve"> and intergenerational perspective for environmental protection</w:t>
      </w:r>
      <w:r w:rsidR="00BC38D5">
        <w:t>.</w:t>
      </w:r>
      <w:r w:rsidR="00F72D90" w:rsidRPr="00F72D90">
        <w:t xml:space="preserve"> </w:t>
      </w:r>
      <w:r w:rsidR="0082544C">
        <w:t>S</w:t>
      </w:r>
      <w:r w:rsidR="00F72D90">
        <w:t xml:space="preserve">ustainable remediation was defined </w:t>
      </w:r>
      <w:r w:rsidR="000F0A2B">
        <w:t>by</w:t>
      </w:r>
      <w:r w:rsidR="00F72D90">
        <w:t xml:space="preserve"> </w:t>
      </w:r>
      <w:r w:rsidR="00A236CB">
        <w:t xml:space="preserve">NEA </w:t>
      </w:r>
      <w:r w:rsidR="009A33E3">
        <w:t>(</w:t>
      </w:r>
      <w:r w:rsidR="0082544C">
        <w:t>NEA, 2016</w:t>
      </w:r>
      <w:r w:rsidR="009A33E3">
        <w:t>)</w:t>
      </w:r>
      <w:r w:rsidR="0082544C">
        <w:t xml:space="preserve"> </w:t>
      </w:r>
      <w:r w:rsidR="00F72D90">
        <w:t xml:space="preserve">as: </w:t>
      </w:r>
      <w:r w:rsidR="00F72D90" w:rsidRPr="00667C97">
        <w:rPr>
          <w:i/>
          <w:iCs/>
        </w:rPr>
        <w:t>Remediation actions that deliver a net benefit and are informed by the short‑ and long‑term impacts on safety and the environment</w:t>
      </w:r>
      <w:r w:rsidR="00266E49" w:rsidRPr="00667C97">
        <w:rPr>
          <w:i/>
          <w:iCs/>
        </w:rPr>
        <w:t>,</w:t>
      </w:r>
      <w:r w:rsidR="00F72D90" w:rsidRPr="00667C97">
        <w:rPr>
          <w:i/>
          <w:iCs/>
        </w:rPr>
        <w:t xml:space="preserve"> society and the economy, natural </w:t>
      </w:r>
      <w:proofErr w:type="gramStart"/>
      <w:r w:rsidR="00F72D90" w:rsidRPr="00667C97">
        <w:rPr>
          <w:i/>
          <w:iCs/>
        </w:rPr>
        <w:t>resources</w:t>
      </w:r>
      <w:proofErr w:type="gramEnd"/>
      <w:r w:rsidR="00F72D90" w:rsidRPr="00667C97">
        <w:rPr>
          <w:i/>
          <w:iCs/>
        </w:rPr>
        <w:t xml:space="preserve"> and climate change</w:t>
      </w:r>
      <w:r w:rsidR="00F72D90">
        <w:t>.</w:t>
      </w:r>
      <w:r w:rsidR="00D22AC8">
        <w:t xml:space="preserve"> </w:t>
      </w:r>
      <w:r w:rsidR="00095379">
        <w:t>A</w:t>
      </w:r>
      <w:r w:rsidR="00D22AC8">
        <w:t xml:space="preserve"> recent </w:t>
      </w:r>
      <w:r w:rsidR="004D4A71">
        <w:t xml:space="preserve">IAEA </w:t>
      </w:r>
      <w:r w:rsidR="00D22AC8">
        <w:t xml:space="preserve">document </w:t>
      </w:r>
      <w:r w:rsidR="009A33E3">
        <w:t>(</w:t>
      </w:r>
      <w:r w:rsidR="00D22AC8">
        <w:t>IAEA, 2023</w:t>
      </w:r>
      <w:r w:rsidR="009A33E3">
        <w:t>)</w:t>
      </w:r>
      <w:r w:rsidR="00D22AC8">
        <w:t xml:space="preserve"> highlight</w:t>
      </w:r>
      <w:r w:rsidR="006B37C4">
        <w:t>s</w:t>
      </w:r>
      <w:r w:rsidR="00D22AC8">
        <w:t xml:space="preserve"> that d</w:t>
      </w:r>
      <w:r w:rsidR="00D22AC8" w:rsidRPr="00D22AC8">
        <w:t>etermining an agreed site end state is important to guide site activities so that the site is transitioned to a condition that meets social and economic expectations, is sustainable and protects people and the environment appropriately</w:t>
      </w:r>
      <w:r w:rsidR="00D22AC8">
        <w:t>.</w:t>
      </w:r>
    </w:p>
    <w:p w14:paraId="280C8935" w14:textId="4DC6669F" w:rsidR="00DE0690" w:rsidRDefault="00E7457B" w:rsidP="00510C79">
      <w:pPr>
        <w:pStyle w:val="ICRPnumberedparagraph"/>
        <w:numPr>
          <w:ilvl w:val="0"/>
          <w:numId w:val="13"/>
        </w:numPr>
        <w:tabs>
          <w:tab w:val="num" w:pos="630"/>
        </w:tabs>
        <w:ind w:left="0" w:firstLine="284"/>
      </w:pPr>
      <w:r>
        <w:t xml:space="preserve">Sustainable remediation </w:t>
      </w:r>
      <w:r w:rsidR="00F27BE2">
        <w:t xml:space="preserve">is based on </w:t>
      </w:r>
      <w:r>
        <w:t xml:space="preserve">actions and goals that </w:t>
      </w:r>
      <w:r w:rsidR="002B2DD5">
        <w:t xml:space="preserve">reflect </w:t>
      </w:r>
      <w:r w:rsidR="00D9766C">
        <w:t xml:space="preserve">an </w:t>
      </w:r>
      <w:r>
        <w:t xml:space="preserve">understanding of the overall impact of remediation activities. </w:t>
      </w:r>
      <w:r w:rsidR="00F27BE2">
        <w:t>It</w:t>
      </w:r>
      <w:r>
        <w:t xml:space="preserve"> is informed by assessments of safety and environmental benefits and impacts</w:t>
      </w:r>
      <w:r w:rsidR="00F27BE2">
        <w:t>, as well as</w:t>
      </w:r>
      <w:r>
        <w:t xml:space="preserve"> social and economic benefits and drawbacks, in the short term and the long term. Hence, sustainable remediation requires not only </w:t>
      </w:r>
      <w:r w:rsidR="00AF1029">
        <w:t xml:space="preserve">the </w:t>
      </w:r>
      <w:r>
        <w:t>identification of a technical solution</w:t>
      </w:r>
      <w:r w:rsidR="00E42C79">
        <w:t>,</w:t>
      </w:r>
      <w:r>
        <w:t xml:space="preserve"> but </w:t>
      </w:r>
      <w:r w:rsidR="00F27BE2">
        <w:t>also</w:t>
      </w:r>
      <w:r>
        <w:t xml:space="preserve"> social engagement in the form of an informed debate and</w:t>
      </w:r>
      <w:r w:rsidR="00F27BE2">
        <w:t xml:space="preserve"> a</w:t>
      </w:r>
      <w:r>
        <w:t xml:space="preserve"> transparent decision</w:t>
      </w:r>
      <w:r w:rsidR="00F27BE2">
        <w:t>-</w:t>
      </w:r>
      <w:r>
        <w:t>making</w:t>
      </w:r>
      <w:r w:rsidR="00F27BE2">
        <w:t xml:space="preserve"> process</w:t>
      </w:r>
      <w:r>
        <w:t xml:space="preserve"> </w:t>
      </w:r>
      <w:r w:rsidR="009A33E3">
        <w:t>(</w:t>
      </w:r>
      <w:r>
        <w:t>NEA, 20</w:t>
      </w:r>
      <w:r w:rsidR="0057463F">
        <w:t>19</w:t>
      </w:r>
      <w:r w:rsidR="009A33E3">
        <w:t>)</w:t>
      </w:r>
      <w:r w:rsidR="00095379">
        <w:t>.</w:t>
      </w:r>
    </w:p>
    <w:p w14:paraId="03F88F33" w14:textId="39E33894" w:rsidR="004A6135" w:rsidRPr="001847F9" w:rsidRDefault="00797C13" w:rsidP="00BE03BD">
      <w:pPr>
        <w:pStyle w:val="2"/>
        <w:numPr>
          <w:ilvl w:val="1"/>
          <w:numId w:val="42"/>
        </w:numPr>
        <w:spacing w:before="480"/>
        <w:jc w:val="left"/>
      </w:pPr>
      <w:bookmarkStart w:id="43" w:name="_Toc159397469"/>
      <w:bookmarkStart w:id="44" w:name="_Toc166586807"/>
      <w:r w:rsidRPr="001847F9">
        <w:t>Type of exposure situation</w:t>
      </w:r>
      <w:bookmarkEnd w:id="42"/>
      <w:bookmarkEnd w:id="43"/>
      <w:bookmarkEnd w:id="44"/>
    </w:p>
    <w:p w14:paraId="719A3BF1" w14:textId="5925C717" w:rsidR="004A6135" w:rsidRPr="00B264DF" w:rsidRDefault="00797C13" w:rsidP="000771AC">
      <w:pPr>
        <w:pStyle w:val="ICRPnumberedparagraph"/>
        <w:numPr>
          <w:ilvl w:val="0"/>
          <w:numId w:val="13"/>
        </w:numPr>
        <w:tabs>
          <w:tab w:val="num" w:pos="630"/>
        </w:tabs>
        <w:ind w:left="0"/>
      </w:pPr>
      <w:bookmarkStart w:id="45" w:name="_Toc444336674"/>
      <w:r w:rsidRPr="00B264DF">
        <w:t xml:space="preserve">The Commission </w:t>
      </w:r>
      <w:r w:rsidR="00844D0B">
        <w:t xml:space="preserve">describes the processes leading to human </w:t>
      </w:r>
      <w:r w:rsidR="00644194" w:rsidRPr="00644194">
        <w:t>exposures as</w:t>
      </w:r>
      <w:r w:rsidRPr="00644194">
        <w:t xml:space="preserve"> a ‘network of events and situations’ that begins with a natural or artificial radiation source, the transfer of the radiation or radioactive materials through various pathways, and the resulting exposure of individuals or the environment (ICRP, 2007). Protection </w:t>
      </w:r>
      <w:r w:rsidR="00E42C79">
        <w:t>is</w:t>
      </w:r>
      <w:r w:rsidRPr="00644194">
        <w:t xml:space="preserve"> achieved by taking actions at the source or at any point in the exposure pathways</w:t>
      </w:r>
      <w:r w:rsidRPr="00B264DF">
        <w:t>.</w:t>
      </w:r>
    </w:p>
    <w:p w14:paraId="56CF09B6" w14:textId="4FCEA351" w:rsidR="0079492F" w:rsidRDefault="00797C13" w:rsidP="000771AC">
      <w:pPr>
        <w:pStyle w:val="ICRPnumberedparagraph"/>
        <w:numPr>
          <w:ilvl w:val="0"/>
          <w:numId w:val="13"/>
        </w:numPr>
        <w:tabs>
          <w:tab w:val="num" w:pos="630"/>
        </w:tabs>
        <w:ind w:left="0"/>
      </w:pPr>
      <w:r w:rsidRPr="00B264DF">
        <w:t xml:space="preserve">The Commission considers </w:t>
      </w:r>
      <w:r w:rsidR="00F1338F">
        <w:t xml:space="preserve">that </w:t>
      </w:r>
      <w:r w:rsidRPr="00B264DF">
        <w:t xml:space="preserve">exposures from areas </w:t>
      </w:r>
      <w:r w:rsidR="0017626A" w:rsidRPr="00B264DF">
        <w:t>contaminate</w:t>
      </w:r>
      <w:r w:rsidR="00F3268A">
        <w:t>d</w:t>
      </w:r>
      <w:r w:rsidR="0017626A" w:rsidRPr="00B264DF">
        <w:t xml:space="preserve"> by past activities </w:t>
      </w:r>
      <w:r w:rsidR="00160159">
        <w:t>should be</w:t>
      </w:r>
      <w:r w:rsidR="0006429A">
        <w:t xml:space="preserve"> managed</w:t>
      </w:r>
      <w:r w:rsidR="00F1338F">
        <w:t xml:space="preserve"> as an</w:t>
      </w:r>
      <w:r w:rsidR="00F1338F" w:rsidRPr="00B264DF">
        <w:t xml:space="preserve"> </w:t>
      </w:r>
      <w:r w:rsidRPr="00B264DF">
        <w:t>existing exposure</w:t>
      </w:r>
      <w:r w:rsidR="00F1338F">
        <w:t xml:space="preserve"> </w:t>
      </w:r>
      <w:r w:rsidRPr="00B264DF">
        <w:t xml:space="preserve">situation. As detailed </w:t>
      </w:r>
      <w:r w:rsidRPr="00644194">
        <w:t>in Section 2</w:t>
      </w:r>
      <w:r w:rsidR="00F1338F">
        <w:t xml:space="preserve"> and case studies</w:t>
      </w:r>
      <w:r w:rsidR="001505A4">
        <w:t xml:space="preserve"> in Annex</w:t>
      </w:r>
      <w:r w:rsidR="00A236CB">
        <w:t xml:space="preserve"> A</w:t>
      </w:r>
      <w:r w:rsidRPr="00644194">
        <w:t>, the</w:t>
      </w:r>
      <w:r w:rsidRPr="00B264DF">
        <w:t xml:space="preserve"> source is not deliberately </w:t>
      </w:r>
      <w:r w:rsidR="00B36B82" w:rsidRPr="00B264DF">
        <w:t>introduced in</w:t>
      </w:r>
      <w:r w:rsidRPr="00B264DF">
        <w:t xml:space="preserve"> the concerned area when the decision to manage exposures resulting from the source is made.</w:t>
      </w:r>
    </w:p>
    <w:p w14:paraId="5FB461BC" w14:textId="7CB17185" w:rsidR="009233C6" w:rsidRDefault="0079492F" w:rsidP="0079492F">
      <w:pPr>
        <w:pStyle w:val="ICRPnumberedparagraph"/>
        <w:numPr>
          <w:ilvl w:val="0"/>
          <w:numId w:val="13"/>
        </w:numPr>
        <w:tabs>
          <w:tab w:val="num" w:pos="630"/>
        </w:tabs>
        <w:ind w:left="0"/>
      </w:pPr>
      <w:r w:rsidRPr="00B264DF">
        <w:t>The doses resulting from contaminated areas may be low</w:t>
      </w:r>
      <w:r w:rsidR="004D6399">
        <w:rPr>
          <w:rStyle w:val="a7"/>
        </w:rPr>
        <w:footnoteReference w:id="4"/>
      </w:r>
      <w:r w:rsidRPr="00B264DF">
        <w:t xml:space="preserve"> when the decision to manage the situation is taken. Nevertheless, depending on the areas, </w:t>
      </w:r>
      <w:r w:rsidRPr="00644194">
        <w:t xml:space="preserve">potential </w:t>
      </w:r>
      <w:r w:rsidRPr="003940A5">
        <w:t>transport and exposure</w:t>
      </w:r>
      <w:r w:rsidRPr="00644194">
        <w:t xml:space="preserve"> pathways</w:t>
      </w:r>
      <w:r w:rsidR="008541DC">
        <w:t>,</w:t>
      </w:r>
      <w:r w:rsidRPr="00644194">
        <w:t xml:space="preserve"> and source characteristics, contaminated areas could lead </w:t>
      </w:r>
      <w:r w:rsidR="00D30E90">
        <w:t>t</w:t>
      </w:r>
      <w:r w:rsidRPr="00B264DF">
        <w:t>o higher exposures</w:t>
      </w:r>
      <w:r w:rsidR="00D30E90">
        <w:t xml:space="preserve"> in the future</w:t>
      </w:r>
      <w:r w:rsidRPr="00B264DF">
        <w:t xml:space="preserve">. </w:t>
      </w:r>
      <w:r w:rsidR="009E51FF">
        <w:t>E</w:t>
      </w:r>
      <w:r w:rsidRPr="00B264DF">
        <w:t xml:space="preserve">xposures </w:t>
      </w:r>
      <w:r w:rsidR="009E51FF">
        <w:t xml:space="preserve">not certain to occur </w:t>
      </w:r>
      <w:r w:rsidRPr="00B264DF">
        <w:t>arising from contaminated areas over the medium</w:t>
      </w:r>
      <w:r>
        <w:t>-</w:t>
      </w:r>
      <w:r w:rsidRPr="00B264DF">
        <w:t xml:space="preserve"> and long-term should </w:t>
      </w:r>
      <w:r w:rsidR="00E42C79">
        <w:t xml:space="preserve">also </w:t>
      </w:r>
      <w:r w:rsidRPr="00B264DF">
        <w:t xml:space="preserve">be </w:t>
      </w:r>
      <w:r w:rsidR="008541DC">
        <w:t>consider</w:t>
      </w:r>
      <w:r w:rsidR="008541DC" w:rsidRPr="00B264DF">
        <w:t xml:space="preserve">ed </w:t>
      </w:r>
      <w:r w:rsidRPr="00B264DF">
        <w:t>to define a</w:t>
      </w:r>
      <w:r w:rsidR="00E42C79">
        <w:t xml:space="preserve"> robust and</w:t>
      </w:r>
      <w:r w:rsidRPr="00B264DF">
        <w:t xml:space="preserve"> sustainable remediation process.</w:t>
      </w:r>
    </w:p>
    <w:p w14:paraId="2616423D" w14:textId="49507328" w:rsidR="0079492F" w:rsidRPr="00644194" w:rsidRDefault="009233C6" w:rsidP="009233C6">
      <w:pPr>
        <w:pStyle w:val="ICRPnumberedparagraph"/>
        <w:numPr>
          <w:ilvl w:val="0"/>
          <w:numId w:val="13"/>
        </w:numPr>
        <w:tabs>
          <w:tab w:val="num" w:pos="630"/>
        </w:tabs>
        <w:ind w:left="0"/>
      </w:pPr>
      <w:r w:rsidRPr="00B264DF">
        <w:t xml:space="preserve">There is usually no prospect of </w:t>
      </w:r>
      <w:r>
        <w:t>tissue reactions</w:t>
      </w:r>
      <w:r w:rsidRPr="00B264DF">
        <w:t xml:space="preserve">. However, in unusual circumstances </w:t>
      </w:r>
      <w:r w:rsidRPr="00644194">
        <w:t>and depending on the characteristics of the source (hot particles</w:t>
      </w:r>
      <w:r>
        <w:t xml:space="preserve"> in the Dalgety Bay case study</w:t>
      </w:r>
      <w:r w:rsidR="00061D91">
        <w:t>,</w:t>
      </w:r>
      <w:r w:rsidR="008541DC">
        <w:t xml:space="preserve"> for example</w:t>
      </w:r>
      <w:r w:rsidRPr="00644194">
        <w:t xml:space="preserve">), </w:t>
      </w:r>
      <w:r w:rsidR="006F1C4E">
        <w:t xml:space="preserve">prevention of </w:t>
      </w:r>
      <w:r>
        <w:t>tissue reactions</w:t>
      </w:r>
      <w:r w:rsidRPr="00644194">
        <w:t xml:space="preserve"> </w:t>
      </w:r>
      <w:r w:rsidR="006F1C4E">
        <w:t xml:space="preserve">may need to be </w:t>
      </w:r>
      <w:r w:rsidR="00E42C79">
        <w:t>consider</w:t>
      </w:r>
      <w:r w:rsidR="006F1C4E">
        <w:t xml:space="preserve">ed </w:t>
      </w:r>
      <w:r w:rsidRPr="00644194">
        <w:t xml:space="preserve">when defining </w:t>
      </w:r>
      <w:r w:rsidR="001505A4">
        <w:t>the protection strategy</w:t>
      </w:r>
      <w:r w:rsidRPr="00644194">
        <w:t>.</w:t>
      </w:r>
    </w:p>
    <w:p w14:paraId="3EF7E8F0" w14:textId="3F2BDE83" w:rsidR="0006429A" w:rsidRDefault="00F1338F" w:rsidP="000771AC">
      <w:pPr>
        <w:pStyle w:val="ICRPnumberedparagraph"/>
        <w:numPr>
          <w:ilvl w:val="0"/>
          <w:numId w:val="13"/>
        </w:numPr>
        <w:tabs>
          <w:tab w:val="num" w:pos="630"/>
        </w:tabs>
        <w:ind w:left="0"/>
      </w:pPr>
      <w:r>
        <w:t>T</w:t>
      </w:r>
      <w:r w:rsidR="00566CC7" w:rsidRPr="00644194">
        <w:t xml:space="preserve">he Commission indicated </w:t>
      </w:r>
      <w:r w:rsidR="00982ECE">
        <w:t xml:space="preserve">in Table 4 of </w:t>
      </w:r>
      <w:r w:rsidR="00982ECE" w:rsidRPr="00667C97">
        <w:rPr>
          <w:i/>
          <w:iCs/>
        </w:rPr>
        <w:t>Publication 103</w:t>
      </w:r>
      <w:r w:rsidR="00982ECE">
        <w:t xml:space="preserve"> </w:t>
      </w:r>
      <w:r w:rsidR="00566CC7" w:rsidRPr="00644194">
        <w:t xml:space="preserve">that </w:t>
      </w:r>
      <w:r w:rsidR="00566CC7" w:rsidRPr="00667C97">
        <w:rPr>
          <w:i/>
          <w:iCs/>
        </w:rPr>
        <w:t xml:space="preserve">Exposures resulting from long-term remediation operations or from protracted employment in affected areas should be treated as part of planned occupational exposure, even though the source of radiation is </w:t>
      </w:r>
      <w:r w:rsidR="000506C7">
        <w:rPr>
          <w:i/>
          <w:iCs/>
        </w:rPr>
        <w:t>‘</w:t>
      </w:r>
      <w:r w:rsidR="00566CC7" w:rsidRPr="00667C97">
        <w:rPr>
          <w:i/>
          <w:iCs/>
        </w:rPr>
        <w:t>existing’</w:t>
      </w:r>
      <w:r w:rsidR="00566CC7" w:rsidRPr="00644194">
        <w:t xml:space="preserve"> (ICRP, 2007)</w:t>
      </w:r>
      <w:r w:rsidR="0006429A">
        <w:t xml:space="preserve">. </w:t>
      </w:r>
      <w:r w:rsidR="001505A4">
        <w:t xml:space="preserve">For these workers, </w:t>
      </w:r>
      <w:r w:rsidR="00445101">
        <w:t xml:space="preserve">once the situation is well characterised, </w:t>
      </w:r>
      <w:r w:rsidR="001505A4">
        <w:t xml:space="preserve">exposure pathways leading to doses can be controlled. </w:t>
      </w:r>
      <w:r w:rsidR="00075158">
        <w:t>Consequently</w:t>
      </w:r>
      <w:r w:rsidR="0006429A">
        <w:t xml:space="preserve">, </w:t>
      </w:r>
      <w:r w:rsidR="00CE7C75">
        <w:t xml:space="preserve">the Commission recommends that </w:t>
      </w:r>
      <w:r w:rsidR="00566CC7" w:rsidRPr="00644194">
        <w:t xml:space="preserve">exposure of workers involved in </w:t>
      </w:r>
      <w:r w:rsidR="008C2FD9">
        <w:t xml:space="preserve">the </w:t>
      </w:r>
      <w:r w:rsidR="00566CC7" w:rsidRPr="00644194">
        <w:t xml:space="preserve">remediation </w:t>
      </w:r>
      <w:r w:rsidR="00CE7C75">
        <w:t xml:space="preserve">(remediation workers) </w:t>
      </w:r>
      <w:r w:rsidR="00566CC7" w:rsidRPr="00644194">
        <w:t xml:space="preserve">of contaminated areas </w:t>
      </w:r>
      <w:r w:rsidR="00F45D53" w:rsidRPr="00644194">
        <w:t xml:space="preserve">should be </w:t>
      </w:r>
      <w:r w:rsidR="001505A4">
        <w:t>managed</w:t>
      </w:r>
      <w:r w:rsidR="001505A4" w:rsidRPr="00644194">
        <w:t xml:space="preserve"> </w:t>
      </w:r>
      <w:r w:rsidR="00566CC7" w:rsidRPr="00644194">
        <w:t xml:space="preserve">as </w:t>
      </w:r>
      <w:r w:rsidR="00982ECE">
        <w:t xml:space="preserve">planned </w:t>
      </w:r>
      <w:r w:rsidR="00566CC7" w:rsidRPr="00644194">
        <w:t>occupational exposures</w:t>
      </w:r>
      <w:r>
        <w:t>.</w:t>
      </w:r>
    </w:p>
    <w:p w14:paraId="47B023AB" w14:textId="68660609" w:rsidR="00BC5A0B" w:rsidRDefault="00BC5A0B" w:rsidP="00CD5874">
      <w:pPr>
        <w:pStyle w:val="ICRPnumberedparagraph"/>
        <w:numPr>
          <w:ilvl w:val="0"/>
          <w:numId w:val="13"/>
        </w:numPr>
        <w:tabs>
          <w:tab w:val="num" w:pos="630"/>
        </w:tabs>
        <w:ind w:left="0" w:firstLine="289"/>
      </w:pPr>
      <w:r w:rsidRPr="005D6331">
        <w:lastRenderedPageBreak/>
        <w:t xml:space="preserve">In some cases, </w:t>
      </w:r>
      <w:r w:rsidR="00FC2E6F" w:rsidRPr="00FC2E6F">
        <w:t>workers not involved in the remediation</w:t>
      </w:r>
      <w:r w:rsidR="00FC2E6F" w:rsidRPr="00FC2E6F" w:rsidDel="00FC2E6F">
        <w:t xml:space="preserve"> </w:t>
      </w:r>
      <w:r w:rsidR="00FC2E6F">
        <w:t xml:space="preserve">process </w:t>
      </w:r>
      <w:r w:rsidRPr="005D6331">
        <w:t xml:space="preserve">can be exposed while performing their professional activities in the </w:t>
      </w:r>
      <w:r>
        <w:t>contaminated</w:t>
      </w:r>
      <w:r w:rsidRPr="005D6331">
        <w:t xml:space="preserve"> areas. These exposures are not regarded as occupational exposure and </w:t>
      </w:r>
      <w:r w:rsidR="00445101">
        <w:t>should be</w:t>
      </w:r>
      <w:r w:rsidR="00445101" w:rsidRPr="005D6331">
        <w:t xml:space="preserve"> </w:t>
      </w:r>
      <w:r w:rsidRPr="005D6331">
        <w:t xml:space="preserve">treated in the same way as </w:t>
      </w:r>
      <w:r>
        <w:t xml:space="preserve">exposure to </w:t>
      </w:r>
      <w:r w:rsidRPr="005D6331">
        <w:t>members of the public.</w:t>
      </w:r>
    </w:p>
    <w:p w14:paraId="4B5520DA" w14:textId="2BFDA466" w:rsidR="00797C13" w:rsidRPr="00644194" w:rsidRDefault="0006429A" w:rsidP="0006429A">
      <w:pPr>
        <w:pStyle w:val="ICRPnumberedparagraph"/>
        <w:numPr>
          <w:ilvl w:val="0"/>
          <w:numId w:val="13"/>
        </w:numPr>
        <w:tabs>
          <w:tab w:val="num" w:pos="630"/>
        </w:tabs>
        <w:ind w:left="0"/>
      </w:pPr>
      <w:r w:rsidRPr="00B264DF">
        <w:t>A graded approach is appropriate for manag</w:t>
      </w:r>
      <w:r w:rsidR="00484A3A">
        <w:t>ing</w:t>
      </w:r>
      <w:r w:rsidRPr="00B264DF">
        <w:t xml:space="preserve"> exposures in areas contaminated by past activities. </w:t>
      </w:r>
      <w:r w:rsidR="0079492F">
        <w:t>It</w:t>
      </w:r>
      <w:r w:rsidRPr="00B264DF">
        <w:t xml:space="preserve"> should </w:t>
      </w:r>
      <w:r w:rsidR="0079492F">
        <w:t>be based on the characteristics</w:t>
      </w:r>
      <w:r w:rsidRPr="00B264DF">
        <w:t xml:space="preserve"> of the contaminated area</w:t>
      </w:r>
      <w:r w:rsidR="0079492F">
        <w:t xml:space="preserve">, </w:t>
      </w:r>
      <w:r w:rsidR="00282E44" w:rsidRPr="00B264DF">
        <w:t>experiences from managing similar situations</w:t>
      </w:r>
      <w:r w:rsidR="00CE7C75">
        <w:t>,</w:t>
      </w:r>
      <w:r w:rsidR="00282E44">
        <w:t xml:space="preserve"> and </w:t>
      </w:r>
      <w:r w:rsidR="00BC5A0B">
        <w:t>expectation</w:t>
      </w:r>
      <w:r w:rsidR="0079492F">
        <w:t>s of local stakeholders</w:t>
      </w:r>
      <w:r w:rsidRPr="00B264DF">
        <w:t>.</w:t>
      </w:r>
    </w:p>
    <w:p w14:paraId="003F6134" w14:textId="015FD202" w:rsidR="00797C13" w:rsidRPr="000D1214" w:rsidRDefault="00797C13" w:rsidP="00BE03BD">
      <w:pPr>
        <w:pStyle w:val="2"/>
        <w:numPr>
          <w:ilvl w:val="1"/>
          <w:numId w:val="42"/>
        </w:numPr>
        <w:spacing w:before="480"/>
        <w:jc w:val="left"/>
      </w:pPr>
      <w:bookmarkStart w:id="46" w:name="_Toc117873830"/>
      <w:bookmarkStart w:id="47" w:name="_Toc159397470"/>
      <w:bookmarkStart w:id="48" w:name="_Toc166586808"/>
      <w:r w:rsidRPr="000D1214">
        <w:t>Justification of protection strateg</w:t>
      </w:r>
      <w:r w:rsidR="00370507" w:rsidRPr="000D1214">
        <w:t>y</w:t>
      </w:r>
      <w:bookmarkEnd w:id="46"/>
      <w:bookmarkEnd w:id="47"/>
      <w:bookmarkEnd w:id="48"/>
    </w:p>
    <w:p w14:paraId="1A80BFDD" w14:textId="77777777" w:rsidR="00104EC1" w:rsidRDefault="00797C13" w:rsidP="000771AC">
      <w:pPr>
        <w:pStyle w:val="ICRPnumberedparagraph"/>
        <w:numPr>
          <w:ilvl w:val="0"/>
          <w:numId w:val="13"/>
        </w:numPr>
        <w:tabs>
          <w:tab w:val="num" w:pos="630"/>
        </w:tabs>
        <w:ind w:left="0"/>
      </w:pPr>
      <w:r w:rsidRPr="005D6331">
        <w:t xml:space="preserve">The principle of justification is one of the two fundamental source-related principles that apply to all exposure situations. The recommendation in Para. 203 of </w:t>
      </w:r>
      <w:r w:rsidRPr="00667C97">
        <w:rPr>
          <w:i/>
          <w:iCs/>
        </w:rPr>
        <w:t>Publication 103</w:t>
      </w:r>
      <w:r w:rsidR="00685042" w:rsidRPr="005D6331">
        <w:t xml:space="preserve"> </w:t>
      </w:r>
      <w:r w:rsidRPr="005D6331">
        <w:t>(ICRP, 2007) requires, through the principle of justification, that any decision that alters the radiation exposure situation should do more good than harm</w:t>
      </w:r>
      <w:r w:rsidR="00941E59" w:rsidRPr="005D6331">
        <w:t>. F</w:t>
      </w:r>
      <w:r w:rsidRPr="005D6331">
        <w:t xml:space="preserve">or existing exposure situations, the justification principle is applied when deciding </w:t>
      </w:r>
      <w:proofErr w:type="gramStart"/>
      <w:r w:rsidRPr="005D6331">
        <w:t>whether</w:t>
      </w:r>
      <w:r w:rsidR="0017626A" w:rsidRPr="005D6331">
        <w:t xml:space="preserve"> or not</w:t>
      </w:r>
      <w:proofErr w:type="gramEnd"/>
      <w:r w:rsidRPr="005D6331">
        <w:t xml:space="preserve"> to take actions to reduce exposure and avert further additional exposures. </w:t>
      </w:r>
    </w:p>
    <w:p w14:paraId="584D4F10" w14:textId="57904ED1" w:rsidR="00797C13" w:rsidRPr="005D6331" w:rsidRDefault="00797C13" w:rsidP="000771AC">
      <w:pPr>
        <w:pStyle w:val="ICRPnumberedparagraph"/>
        <w:numPr>
          <w:ilvl w:val="0"/>
          <w:numId w:val="13"/>
        </w:numPr>
        <w:tabs>
          <w:tab w:val="num" w:pos="630"/>
        </w:tabs>
        <w:ind w:left="0"/>
      </w:pPr>
      <w:r w:rsidRPr="005D6331">
        <w:t xml:space="preserve">Any decision </w:t>
      </w:r>
      <w:r w:rsidR="00DD4F8D">
        <w:t xml:space="preserve">made with respect to adopting a particular </w:t>
      </w:r>
      <w:r w:rsidR="00852854">
        <w:t xml:space="preserve">protection </w:t>
      </w:r>
      <w:r w:rsidR="00DD4F8D">
        <w:t>st</w:t>
      </w:r>
      <w:r w:rsidR="00095C75">
        <w:t xml:space="preserve">rategy </w:t>
      </w:r>
      <w:r w:rsidR="00D66D92">
        <w:t>will likely have advantages and disadvantages</w:t>
      </w:r>
      <w:r w:rsidR="0052499B">
        <w:t xml:space="preserve"> and </w:t>
      </w:r>
      <w:r w:rsidRPr="005D6331">
        <w:t xml:space="preserve">should be justified in the sense that it should do more good than harm. </w:t>
      </w:r>
      <w:r w:rsidR="00470207" w:rsidRPr="005D6331">
        <w:t xml:space="preserve">In these circumstances, </w:t>
      </w:r>
      <w:r w:rsidR="008B239A">
        <w:t xml:space="preserve">when managing areas contaminated by past activities, </w:t>
      </w:r>
      <w:r w:rsidR="00470207" w:rsidRPr="005D6331">
        <w:t xml:space="preserve">the principle of justification is primarily applied in deciding </w:t>
      </w:r>
      <w:r w:rsidR="00332CB0">
        <w:t xml:space="preserve">if a </w:t>
      </w:r>
      <w:r w:rsidR="00470207" w:rsidRPr="005D6331">
        <w:t>remediation strategy is to be implemented</w:t>
      </w:r>
      <w:r w:rsidR="00E52BAE">
        <w:t>.</w:t>
      </w:r>
      <w:r w:rsidR="00C536C4">
        <w:t xml:space="preserve"> </w:t>
      </w:r>
    </w:p>
    <w:p w14:paraId="28DEEF7D" w14:textId="1A6226EC" w:rsidR="006B0A19" w:rsidRDefault="00FF5FB9" w:rsidP="000771AC">
      <w:pPr>
        <w:pStyle w:val="ICRPnumberedparagraph"/>
        <w:numPr>
          <w:ilvl w:val="0"/>
          <w:numId w:val="13"/>
        </w:numPr>
        <w:tabs>
          <w:tab w:val="num" w:pos="630"/>
        </w:tabs>
        <w:ind w:left="0"/>
      </w:pPr>
      <w:r w:rsidRPr="006B0A19">
        <w:t>Remedia</w:t>
      </w:r>
      <w:r>
        <w:t>l</w:t>
      </w:r>
      <w:r w:rsidRPr="006B0A19">
        <w:t xml:space="preserve"> </w:t>
      </w:r>
      <w:r w:rsidR="006B0A19" w:rsidRPr="006B0A19">
        <w:t>actions may affect people liv</w:t>
      </w:r>
      <w:r w:rsidR="008B239A">
        <w:t xml:space="preserve">ing </w:t>
      </w:r>
      <w:r w:rsidR="005279DB">
        <w:t>in contaminated areas</w:t>
      </w:r>
      <w:r w:rsidR="006B0A19" w:rsidRPr="006B0A19">
        <w:t xml:space="preserve">, including how they live. In the justification process, the positive attributes of remediation that should be </w:t>
      </w:r>
      <w:r w:rsidR="00720DAB" w:rsidRPr="006B0A19">
        <w:t>considered</w:t>
      </w:r>
      <w:r w:rsidR="006B0A19" w:rsidRPr="006B0A19">
        <w:t xml:space="preserve"> include not only </w:t>
      </w:r>
      <w:r w:rsidR="00B059E1">
        <w:t xml:space="preserve">the </w:t>
      </w:r>
      <w:r w:rsidR="006B0A19" w:rsidRPr="006B0A19">
        <w:t xml:space="preserve">reduction in dose but also </w:t>
      </w:r>
      <w:r w:rsidR="005279DB">
        <w:t xml:space="preserve">affected </w:t>
      </w:r>
      <w:r w:rsidR="006B0A19" w:rsidRPr="006B0A19">
        <w:t>stakeholders</w:t>
      </w:r>
      <w:r w:rsidR="00523F0F">
        <w:t>’</w:t>
      </w:r>
      <w:r w:rsidR="006B0A19" w:rsidRPr="006B0A19">
        <w:t xml:space="preserve"> expectations. The negative attributes that should be </w:t>
      </w:r>
      <w:r w:rsidR="009F735F" w:rsidRPr="006B0A19">
        <w:t>considered</w:t>
      </w:r>
      <w:r w:rsidR="006B0A19" w:rsidRPr="006B0A19">
        <w:t xml:space="preserve"> include not only the financial costs of the remediation but also </w:t>
      </w:r>
      <w:r w:rsidR="00525B1D">
        <w:t xml:space="preserve">the </w:t>
      </w:r>
      <w:r w:rsidR="006B0A19" w:rsidRPr="006B0A19">
        <w:t>societal, health and environmental impacts of the remediation work</w:t>
      </w:r>
      <w:r w:rsidR="00525B1D">
        <w:t>,</w:t>
      </w:r>
      <w:r w:rsidR="006B0A19" w:rsidRPr="006B0A19">
        <w:t xml:space="preserve"> </w:t>
      </w:r>
      <w:r w:rsidR="007804AE">
        <w:t>such as the</w:t>
      </w:r>
      <w:r w:rsidR="006B0A19" w:rsidRPr="006B0A19">
        <w:t xml:space="preserve"> </w:t>
      </w:r>
      <w:r w:rsidR="00332CB0">
        <w:t xml:space="preserve">transfer of </w:t>
      </w:r>
      <w:r w:rsidR="006B0A19" w:rsidRPr="006B0A19">
        <w:t xml:space="preserve">risks to </w:t>
      </w:r>
      <w:r w:rsidR="005279DB">
        <w:t xml:space="preserve">remediation </w:t>
      </w:r>
      <w:r w:rsidR="006B0A19" w:rsidRPr="006B0A19">
        <w:t xml:space="preserve">workers </w:t>
      </w:r>
      <w:r w:rsidR="005279DB">
        <w:t>or</w:t>
      </w:r>
      <w:r w:rsidR="00332CB0">
        <w:t xml:space="preserve"> </w:t>
      </w:r>
      <w:r w:rsidR="007804AE">
        <w:t xml:space="preserve">the </w:t>
      </w:r>
      <w:r w:rsidR="005A4D4F">
        <w:t xml:space="preserve">impacts of </w:t>
      </w:r>
      <w:r w:rsidR="00332CB0">
        <w:t>waste transport and management</w:t>
      </w:r>
      <w:r w:rsidR="00C042B7">
        <w:t>.</w:t>
      </w:r>
    </w:p>
    <w:p w14:paraId="0B964FD3" w14:textId="334CAACD" w:rsidR="00C042B7" w:rsidRPr="005D6331" w:rsidRDefault="00C042B7" w:rsidP="000771AC">
      <w:pPr>
        <w:pStyle w:val="ICRPnumberedparagraph"/>
        <w:numPr>
          <w:ilvl w:val="0"/>
          <w:numId w:val="13"/>
        </w:numPr>
        <w:tabs>
          <w:tab w:val="num" w:pos="630"/>
        </w:tabs>
        <w:ind w:left="0"/>
      </w:pPr>
      <w:r w:rsidRPr="00961FCF">
        <w:t>It is important</w:t>
      </w:r>
      <w:r w:rsidR="00104EC1">
        <w:t>, in the frame of the justification process,</w:t>
      </w:r>
      <w:r w:rsidRPr="00961FCF">
        <w:t xml:space="preserve"> to </w:t>
      </w:r>
      <w:r w:rsidR="00410B14">
        <w:t xml:space="preserve">include an </w:t>
      </w:r>
      <w:r w:rsidRPr="00961FCF">
        <w:t>analys</w:t>
      </w:r>
      <w:r w:rsidR="00410B14">
        <w:t>is</w:t>
      </w:r>
      <w:r w:rsidRPr="00961FCF">
        <w:t xml:space="preserve"> of the consequences if </w:t>
      </w:r>
      <w:r w:rsidR="00104EC1">
        <w:t xml:space="preserve">no </w:t>
      </w:r>
      <w:r w:rsidRPr="00961FCF">
        <w:t xml:space="preserve">remediation action </w:t>
      </w:r>
      <w:r w:rsidR="00104EC1">
        <w:t>is</w:t>
      </w:r>
      <w:r w:rsidRPr="00961FCF">
        <w:t xml:space="preserve"> taken</w:t>
      </w:r>
      <w:r w:rsidR="00160159">
        <w:t>,</w:t>
      </w:r>
      <w:r w:rsidRPr="00961FCF">
        <w:t xml:space="preserve"> </w:t>
      </w:r>
      <w:r w:rsidR="00104EC1">
        <w:t>as</w:t>
      </w:r>
      <w:r w:rsidRPr="00961FCF">
        <w:t xml:space="preserve"> this could be the most appropriate</w:t>
      </w:r>
      <w:r w:rsidR="00104EC1">
        <w:t xml:space="preserve"> </w:t>
      </w:r>
      <w:r w:rsidR="00781379">
        <w:t>decision</w:t>
      </w:r>
      <w:r w:rsidRPr="00961FCF">
        <w:t>.</w:t>
      </w:r>
    </w:p>
    <w:p w14:paraId="20811B16" w14:textId="432EE3E4" w:rsidR="00797C13" w:rsidRPr="005D6331" w:rsidRDefault="00077CDE" w:rsidP="000771AC">
      <w:pPr>
        <w:pStyle w:val="ICRPnumberedparagraph"/>
        <w:numPr>
          <w:ilvl w:val="0"/>
          <w:numId w:val="13"/>
        </w:numPr>
        <w:tabs>
          <w:tab w:val="num" w:pos="630"/>
        </w:tabs>
        <w:ind w:left="0"/>
      </w:pPr>
      <w:r w:rsidRPr="005D6331">
        <w:t>The justification principle combines the ethical values of beneficence and non-maleficence, prudence</w:t>
      </w:r>
      <w:r w:rsidR="00332CB0">
        <w:t>, and dignity</w:t>
      </w:r>
      <w:r w:rsidRPr="005D6331">
        <w:t xml:space="preserve"> </w:t>
      </w:r>
      <w:r w:rsidR="00797C13" w:rsidRPr="005D6331">
        <w:t>(ICRP, 2018)</w:t>
      </w:r>
      <w:r w:rsidR="00797C3B" w:rsidRPr="005D6331">
        <w:t xml:space="preserve">. These </w:t>
      </w:r>
      <w:r w:rsidR="006B3EDC" w:rsidRPr="005D6331">
        <w:t xml:space="preserve">ethical </w:t>
      </w:r>
      <w:r w:rsidR="00797C3B" w:rsidRPr="005D6331">
        <w:t>values</w:t>
      </w:r>
      <w:r w:rsidR="00EF6559" w:rsidRPr="005D6331">
        <w:t xml:space="preserve"> </w:t>
      </w:r>
      <w:r w:rsidR="009033E2" w:rsidRPr="005D6331">
        <w:t xml:space="preserve">support </w:t>
      </w:r>
      <w:r w:rsidR="00B072FE" w:rsidRPr="005D6331">
        <w:t xml:space="preserve">a broad view of justification that </w:t>
      </w:r>
      <w:r w:rsidR="00412EF5" w:rsidRPr="005D6331">
        <w:t xml:space="preserve">considers </w:t>
      </w:r>
      <w:r w:rsidR="00797C13" w:rsidRPr="005D6331">
        <w:t>the well-being</w:t>
      </w:r>
      <w:r w:rsidR="008711BE">
        <w:rPr>
          <w:rStyle w:val="a7"/>
        </w:rPr>
        <w:footnoteReference w:id="5"/>
      </w:r>
      <w:r w:rsidR="00797C13" w:rsidRPr="005D6331">
        <w:t xml:space="preserve"> of individuals</w:t>
      </w:r>
      <w:r w:rsidR="007F0E43" w:rsidRPr="005D6331">
        <w:t xml:space="preserve"> and the environment</w:t>
      </w:r>
      <w:r w:rsidR="00797C13" w:rsidRPr="005D6331">
        <w:t xml:space="preserve"> </w:t>
      </w:r>
      <w:r w:rsidR="0017626A" w:rsidRPr="005D6331">
        <w:t xml:space="preserve">now and </w:t>
      </w:r>
      <w:r w:rsidR="00412EF5" w:rsidRPr="005D6331">
        <w:t>across future generations</w:t>
      </w:r>
      <w:r w:rsidR="00613EAB" w:rsidRPr="005D6331">
        <w:t xml:space="preserve">. </w:t>
      </w:r>
      <w:r w:rsidR="00C34D00" w:rsidRPr="005D6331">
        <w:t>Measurable e</w:t>
      </w:r>
      <w:r w:rsidR="0036460B" w:rsidRPr="005D6331">
        <w:t xml:space="preserve">xpressions of these values </w:t>
      </w:r>
      <w:r w:rsidR="00C34D00" w:rsidRPr="005D6331">
        <w:t xml:space="preserve">may </w:t>
      </w:r>
      <w:r w:rsidR="00576E75" w:rsidRPr="005D6331">
        <w:t xml:space="preserve">include </w:t>
      </w:r>
      <w:r w:rsidR="00CC03B9" w:rsidRPr="005D6331">
        <w:t>a good</w:t>
      </w:r>
      <w:r w:rsidR="000F6F45">
        <w:t xml:space="preserve"> </w:t>
      </w:r>
      <w:r w:rsidR="00797C13" w:rsidRPr="005D6331">
        <w:t>quality of living</w:t>
      </w:r>
      <w:r w:rsidR="00332CB0">
        <w:t xml:space="preserve"> or working</w:t>
      </w:r>
      <w:r w:rsidR="00781379">
        <w:t xml:space="preserve"> </w:t>
      </w:r>
      <w:r w:rsidR="00797C13" w:rsidRPr="005D6331">
        <w:t xml:space="preserve">and </w:t>
      </w:r>
      <w:r w:rsidR="00A613D8" w:rsidRPr="005D6331">
        <w:t xml:space="preserve">achievement of </w:t>
      </w:r>
      <w:r w:rsidR="00797C13" w:rsidRPr="005D6331">
        <w:t>sustainable development</w:t>
      </w:r>
      <w:r w:rsidR="00A613D8" w:rsidRPr="005D6331">
        <w:t xml:space="preserve"> goals</w:t>
      </w:r>
      <w:r w:rsidR="00762FA6">
        <w:t xml:space="preserve"> (United Nations, 2015)</w:t>
      </w:r>
      <w:r w:rsidR="00797C13" w:rsidRPr="005D6331">
        <w:t>.</w:t>
      </w:r>
      <w:r w:rsidR="00332CB0">
        <w:t xml:space="preserve"> </w:t>
      </w:r>
      <w:r w:rsidR="00781379">
        <w:t>D</w:t>
      </w:r>
      <w:r w:rsidR="00332CB0" w:rsidRPr="00332CB0">
        <w:t xml:space="preserve">ignity implies the organisation of a proper dialogue with </w:t>
      </w:r>
      <w:r w:rsidR="00781379">
        <w:t xml:space="preserve">relevant and </w:t>
      </w:r>
      <w:r w:rsidR="00332CB0" w:rsidRPr="00332CB0">
        <w:t xml:space="preserve">affected </w:t>
      </w:r>
      <w:r w:rsidR="00781379">
        <w:t>stakeholders</w:t>
      </w:r>
      <w:r w:rsidR="00781379" w:rsidRPr="00332CB0">
        <w:t xml:space="preserve"> </w:t>
      </w:r>
      <w:r w:rsidR="00332CB0" w:rsidRPr="00332CB0">
        <w:t xml:space="preserve">and the provision of </w:t>
      </w:r>
      <w:r w:rsidR="00781379">
        <w:t>adequate</w:t>
      </w:r>
      <w:r w:rsidR="00781379" w:rsidRPr="00332CB0">
        <w:t xml:space="preserve"> </w:t>
      </w:r>
      <w:r w:rsidR="00332CB0" w:rsidRPr="00332CB0">
        <w:t>information to allow informed decisions.</w:t>
      </w:r>
    </w:p>
    <w:p w14:paraId="13F8CEC5" w14:textId="018BFBFD" w:rsidR="000660EC" w:rsidRPr="005D6331" w:rsidRDefault="000F6F45" w:rsidP="000771AC">
      <w:pPr>
        <w:pStyle w:val="ICRPnumberedparagraph"/>
        <w:numPr>
          <w:ilvl w:val="0"/>
          <w:numId w:val="13"/>
        </w:numPr>
        <w:tabs>
          <w:tab w:val="num" w:pos="630"/>
        </w:tabs>
        <w:ind w:left="0"/>
      </w:pPr>
      <w:r w:rsidRPr="005D6331">
        <w:t>Justification decisions regarding radiological protection strategies in the case of areas contaminated by past activities benefit from a stakeholder involvement process.</w:t>
      </w:r>
      <w:r>
        <w:t xml:space="preserve"> </w:t>
      </w:r>
      <w:r w:rsidR="00DF5C7A">
        <w:t xml:space="preserve">Nevertheless, </w:t>
      </w:r>
      <w:r w:rsidR="00797C13" w:rsidRPr="005D6331">
        <w:t>responsibility for judging justification usually falls on national authorities to ensure that an overall benefit results to society and</w:t>
      </w:r>
      <w:r w:rsidR="00DF5C7A">
        <w:t>,</w:t>
      </w:r>
      <w:r w:rsidR="00797C13" w:rsidRPr="005D6331">
        <w:t xml:space="preserve"> thus</w:t>
      </w:r>
      <w:r w:rsidR="00DF5C7A">
        <w:t>,</w:t>
      </w:r>
      <w:r w:rsidR="00797C13" w:rsidRPr="005D6331">
        <w:t xml:space="preserve"> not necessarily to </w:t>
      </w:r>
      <w:proofErr w:type="gramStart"/>
      <w:r w:rsidR="00797C13" w:rsidRPr="005D6331">
        <w:t>each individual</w:t>
      </w:r>
      <w:proofErr w:type="gramEnd"/>
      <w:r w:rsidR="00797C13" w:rsidRPr="005D6331">
        <w:t>.</w:t>
      </w:r>
    </w:p>
    <w:p w14:paraId="4B2122BF" w14:textId="5C635FB7" w:rsidR="00797C13" w:rsidRPr="005D6331" w:rsidRDefault="0012548D" w:rsidP="000771AC">
      <w:pPr>
        <w:pStyle w:val="ICRPnumberedparagraph"/>
        <w:numPr>
          <w:ilvl w:val="0"/>
          <w:numId w:val="13"/>
        </w:numPr>
        <w:tabs>
          <w:tab w:val="num" w:pos="630"/>
        </w:tabs>
        <w:ind w:left="0"/>
      </w:pPr>
      <w:r w:rsidRPr="005D6331">
        <w:t xml:space="preserve">Participation of </w:t>
      </w:r>
      <w:r w:rsidR="000F6F45">
        <w:t xml:space="preserve">relevant </w:t>
      </w:r>
      <w:r w:rsidRPr="005D6331">
        <w:t>stakeholders in the decision-making process is an effective way to consider their concerns and expectations</w:t>
      </w:r>
      <w:r w:rsidR="00781379">
        <w:t>,</w:t>
      </w:r>
      <w:r w:rsidRPr="005D6331">
        <w:t xml:space="preserve"> as well as their knowledge. It enables </w:t>
      </w:r>
      <w:r w:rsidR="00D70616">
        <w:t xml:space="preserve">the </w:t>
      </w:r>
      <w:r w:rsidRPr="005D6331">
        <w:t xml:space="preserve">adoption of more effective and sustainable </w:t>
      </w:r>
      <w:r w:rsidR="005668D0">
        <w:t>remedial actions</w:t>
      </w:r>
      <w:r w:rsidRPr="005D6331">
        <w:t xml:space="preserve"> (ICRP, 2018).</w:t>
      </w:r>
    </w:p>
    <w:p w14:paraId="513EE8A8" w14:textId="03A85D88" w:rsidR="00797C13" w:rsidRPr="005D6331" w:rsidRDefault="0012548D" w:rsidP="000771AC">
      <w:pPr>
        <w:pStyle w:val="ICRPnumberedparagraph"/>
        <w:numPr>
          <w:ilvl w:val="0"/>
          <w:numId w:val="13"/>
        </w:numPr>
        <w:tabs>
          <w:tab w:val="num" w:pos="630"/>
        </w:tabs>
        <w:ind w:left="0"/>
      </w:pPr>
      <w:r w:rsidRPr="005D6331">
        <w:lastRenderedPageBreak/>
        <w:t>The elaboration of a protection strategy to control exposures from areas</w:t>
      </w:r>
      <w:r w:rsidR="00A167D1" w:rsidRPr="005D6331">
        <w:t xml:space="preserve"> contaminated by past activities</w:t>
      </w:r>
      <w:r w:rsidRPr="005D6331">
        <w:t xml:space="preserve"> </w:t>
      </w:r>
      <w:r w:rsidR="002177A6" w:rsidRPr="005D6331">
        <w:t>and associated decision</w:t>
      </w:r>
      <w:r w:rsidR="00F12761" w:rsidRPr="005D6331">
        <w:t>s</w:t>
      </w:r>
      <w:r w:rsidR="002177A6" w:rsidRPr="005D6331">
        <w:t xml:space="preserve"> </w:t>
      </w:r>
      <w:r w:rsidRPr="005D6331">
        <w:t>requires detailed radiological characteri</w:t>
      </w:r>
      <w:r w:rsidR="0017626A" w:rsidRPr="005D6331">
        <w:t>s</w:t>
      </w:r>
      <w:r w:rsidRPr="005D6331">
        <w:t>ation of the exposure situation</w:t>
      </w:r>
      <w:r w:rsidR="00B821B2">
        <w:t xml:space="preserve">. It </w:t>
      </w:r>
      <w:r w:rsidRPr="005D6331">
        <w:t xml:space="preserve">should also </w:t>
      </w:r>
      <w:proofErr w:type="gramStart"/>
      <w:r w:rsidRPr="005D6331">
        <w:t>take into account</w:t>
      </w:r>
      <w:proofErr w:type="gramEnd"/>
      <w:r w:rsidRPr="005D6331">
        <w:t xml:space="preserve"> health, economic,</w:t>
      </w:r>
      <w:r w:rsidR="00D93351">
        <w:t xml:space="preserve"> environmental,</w:t>
      </w:r>
      <w:r w:rsidRPr="005D6331">
        <w:t xml:space="preserve"> societal, cultural</w:t>
      </w:r>
      <w:r w:rsidR="0021229D">
        <w:t>,</w:t>
      </w:r>
      <w:r w:rsidRPr="005D6331">
        <w:t xml:space="preserve"> and ethical considerations, and possibly other </w:t>
      </w:r>
      <w:r w:rsidR="00E85F20">
        <w:t xml:space="preserve">specific local </w:t>
      </w:r>
      <w:r w:rsidR="00004617">
        <w:t>consideration</w:t>
      </w:r>
      <w:r w:rsidR="00004617" w:rsidRPr="005D6331">
        <w:t>s</w:t>
      </w:r>
      <w:r w:rsidRPr="005D6331">
        <w:t>.</w:t>
      </w:r>
    </w:p>
    <w:p w14:paraId="757044C1" w14:textId="1D94A8A7" w:rsidR="00797C13" w:rsidRPr="005D6331" w:rsidRDefault="00797C13" w:rsidP="00BE03BD">
      <w:pPr>
        <w:pStyle w:val="2"/>
        <w:numPr>
          <w:ilvl w:val="1"/>
          <w:numId w:val="42"/>
        </w:numPr>
        <w:spacing w:before="480"/>
        <w:jc w:val="left"/>
      </w:pPr>
      <w:bookmarkStart w:id="49" w:name="_Toc117873831"/>
      <w:bookmarkStart w:id="50" w:name="_Toc159397471"/>
      <w:bookmarkStart w:id="51" w:name="_Toc166586809"/>
      <w:r w:rsidRPr="005D6331">
        <w:t>Optimisation of protection</w:t>
      </w:r>
      <w:bookmarkEnd w:id="49"/>
      <w:bookmarkEnd w:id="50"/>
      <w:bookmarkEnd w:id="51"/>
    </w:p>
    <w:p w14:paraId="6F0A8424" w14:textId="60E8663E" w:rsidR="00797C13" w:rsidRPr="005D6331" w:rsidRDefault="00797C13" w:rsidP="000771AC">
      <w:pPr>
        <w:pStyle w:val="ICRPnumberedparagraph"/>
        <w:numPr>
          <w:ilvl w:val="0"/>
          <w:numId w:val="13"/>
        </w:numPr>
        <w:tabs>
          <w:tab w:val="num" w:pos="630"/>
        </w:tabs>
        <w:ind w:left="0"/>
      </w:pPr>
      <w:r w:rsidRPr="005D6331">
        <w:t xml:space="preserve">When a decision has been taken to implement a protection strategy, </w:t>
      </w:r>
      <w:r w:rsidR="006A670B" w:rsidRPr="005D6331">
        <w:t>optimisation of prote</w:t>
      </w:r>
      <w:r w:rsidR="007A26A8" w:rsidRPr="005D6331">
        <w:t xml:space="preserve">ction </w:t>
      </w:r>
      <w:r w:rsidRPr="005D6331">
        <w:t xml:space="preserve">is defined by the Commission as the process </w:t>
      </w:r>
      <w:r w:rsidR="00C24FCC">
        <w:t>of keeping</w:t>
      </w:r>
      <w:r w:rsidRPr="005D6331">
        <w:t xml:space="preserve"> the magnitude of individual doses, the number of people exposed, and the likelihood of incurring exposures as low as reasonably achievable</w:t>
      </w:r>
      <w:r w:rsidR="00953D34">
        <w:t xml:space="preserve">. </w:t>
      </w:r>
      <w:r w:rsidR="002775D1">
        <w:t>Optimisation of protection is</w:t>
      </w:r>
      <w:r w:rsidRPr="005D6331">
        <w:t xml:space="preserve"> guided by </w:t>
      </w:r>
      <w:r w:rsidR="002775D1">
        <w:t xml:space="preserve">the choice of an </w:t>
      </w:r>
      <w:r w:rsidRPr="005D6331">
        <w:t>appropriate individual dose criteria,</w:t>
      </w:r>
      <w:r w:rsidR="007A26A8" w:rsidRPr="005D6331">
        <w:t xml:space="preserve"> </w:t>
      </w:r>
      <w:proofErr w:type="gramStart"/>
      <w:r w:rsidRPr="005D6331">
        <w:t>taking into account</w:t>
      </w:r>
      <w:proofErr w:type="gramEnd"/>
      <w:r w:rsidRPr="005D6331">
        <w:t xml:space="preserve"> economic and societal factors</w:t>
      </w:r>
      <w:r w:rsidR="0017626A" w:rsidRPr="005D6331">
        <w:t xml:space="preserve"> (ICRP, 2007)</w:t>
      </w:r>
      <w:r w:rsidRPr="005D6331">
        <w:t xml:space="preserve">. The impact </w:t>
      </w:r>
      <w:r w:rsidR="004D6A51">
        <w:t>on</w:t>
      </w:r>
      <w:r w:rsidRPr="005D6331">
        <w:t xml:space="preserve"> the environment should also be kept as low as reasonably achievable.</w:t>
      </w:r>
    </w:p>
    <w:p w14:paraId="017C45CE" w14:textId="50052830" w:rsidR="00797C13" w:rsidRDefault="00781379" w:rsidP="000771AC">
      <w:pPr>
        <w:pStyle w:val="ICRPnumberedparagraph"/>
        <w:numPr>
          <w:ilvl w:val="0"/>
          <w:numId w:val="13"/>
        </w:numPr>
        <w:tabs>
          <w:tab w:val="num" w:pos="630"/>
        </w:tabs>
        <w:ind w:left="0"/>
      </w:pPr>
      <w:r>
        <w:t>O</w:t>
      </w:r>
      <w:r w:rsidR="00C312E1" w:rsidRPr="005D6331">
        <w:t xml:space="preserve">ptimisation of </w:t>
      </w:r>
      <w:r w:rsidR="00402EBA">
        <w:t xml:space="preserve">radiological </w:t>
      </w:r>
      <w:r w:rsidR="00C312E1" w:rsidRPr="005D6331">
        <w:t xml:space="preserve">protection </w:t>
      </w:r>
      <w:r w:rsidR="00B67BDB">
        <w:t xml:space="preserve">results from </w:t>
      </w:r>
      <w:r w:rsidR="00C312E1" w:rsidRPr="005D6331">
        <w:t>a process that carefully balances the reduction of exposures with the associated societal, environmental</w:t>
      </w:r>
      <w:r w:rsidR="005D5DBE">
        <w:t>,</w:t>
      </w:r>
      <w:r w:rsidR="00C312E1" w:rsidRPr="005D6331">
        <w:t xml:space="preserve"> and economic impacts. </w:t>
      </w:r>
      <w:r w:rsidR="00E92383">
        <w:t>The Commission outlines that o</w:t>
      </w:r>
      <w:r w:rsidR="00925AD6" w:rsidRPr="005D6331">
        <w:t>ptimisation of protection</w:t>
      </w:r>
      <w:r w:rsidR="00C312E1" w:rsidRPr="005D6331">
        <w:t xml:space="preserve"> does not always result in the lowest dose </w:t>
      </w:r>
      <w:r w:rsidR="006E069E">
        <w:t>to</w:t>
      </w:r>
      <w:r w:rsidR="006E069E" w:rsidRPr="005D6331">
        <w:t xml:space="preserve"> </w:t>
      </w:r>
      <w:r w:rsidR="00C312E1" w:rsidRPr="005D6331">
        <w:t>individuals</w:t>
      </w:r>
      <w:r w:rsidR="00E236F5">
        <w:t xml:space="preserve"> (ICRP, 2021)</w:t>
      </w:r>
      <w:r w:rsidR="00C312E1" w:rsidRPr="005D6331">
        <w:t>.</w:t>
      </w:r>
    </w:p>
    <w:p w14:paraId="178E9288" w14:textId="596B1C5C" w:rsidR="00797C13" w:rsidRPr="005D6331" w:rsidRDefault="00797C13" w:rsidP="000771AC">
      <w:pPr>
        <w:pStyle w:val="ICRPnumberedparagraph"/>
        <w:numPr>
          <w:ilvl w:val="0"/>
          <w:numId w:val="13"/>
        </w:numPr>
        <w:tabs>
          <w:tab w:val="num" w:pos="630"/>
        </w:tabs>
        <w:ind w:left="0"/>
      </w:pPr>
      <w:r w:rsidRPr="005D6331">
        <w:t xml:space="preserve">Optimisation of </w:t>
      </w:r>
      <w:r w:rsidR="00402EBA">
        <w:t xml:space="preserve">radiological </w:t>
      </w:r>
      <w:r w:rsidRPr="005D6331">
        <w:t xml:space="preserve">protection is implemented through </w:t>
      </w:r>
      <w:r w:rsidR="00CA6D81">
        <w:t>a</w:t>
      </w:r>
      <w:r w:rsidRPr="005D6331">
        <w:t xml:space="preserve"> process</w:t>
      </w:r>
      <w:r w:rsidR="005304EE">
        <w:t xml:space="preserve"> involving relevant stakeholders</w:t>
      </w:r>
      <w:r w:rsidR="00712A1C">
        <w:t>,</w:t>
      </w:r>
      <w:r w:rsidR="005304EE">
        <w:t xml:space="preserve"> which is based on</w:t>
      </w:r>
      <w:r w:rsidR="00E24AA0">
        <w:t xml:space="preserve"> </w:t>
      </w:r>
      <w:r w:rsidR="00E24AA0">
        <w:rPr>
          <w:color w:val="000000" w:themeColor="text1"/>
          <w:lang w:val="en-US"/>
        </w:rPr>
        <w:t xml:space="preserve">a detailed </w:t>
      </w:r>
      <w:proofErr w:type="spellStart"/>
      <w:r w:rsidR="00E24AA0" w:rsidRPr="00AF2A12">
        <w:rPr>
          <w:color w:val="000000" w:themeColor="text1"/>
          <w:lang w:val="en-US"/>
        </w:rPr>
        <w:t>characteri</w:t>
      </w:r>
      <w:r w:rsidR="000606B5">
        <w:rPr>
          <w:color w:val="000000" w:themeColor="text1"/>
          <w:lang w:val="en-US"/>
        </w:rPr>
        <w:t>s</w:t>
      </w:r>
      <w:r w:rsidR="00E24AA0" w:rsidRPr="00AF2A12">
        <w:rPr>
          <w:color w:val="000000" w:themeColor="text1"/>
          <w:lang w:val="en-US"/>
        </w:rPr>
        <w:t>ation</w:t>
      </w:r>
      <w:proofErr w:type="spellEnd"/>
      <w:r w:rsidR="00E24AA0" w:rsidRPr="00AF2A12">
        <w:rPr>
          <w:color w:val="000000" w:themeColor="text1"/>
          <w:lang w:val="en-US"/>
        </w:rPr>
        <w:t xml:space="preserve"> of the</w:t>
      </w:r>
      <w:r w:rsidR="00E24AA0">
        <w:rPr>
          <w:color w:val="000000" w:themeColor="text1"/>
          <w:lang w:val="en-US"/>
        </w:rPr>
        <w:t xml:space="preserve"> contaminated area and an assessment of actual </w:t>
      </w:r>
      <w:r w:rsidR="00B74A54">
        <w:rPr>
          <w:color w:val="000000" w:themeColor="text1"/>
          <w:lang w:val="en-US"/>
        </w:rPr>
        <w:t xml:space="preserve">exposures </w:t>
      </w:r>
      <w:r w:rsidR="00E24AA0">
        <w:rPr>
          <w:color w:val="000000" w:themeColor="text1"/>
          <w:lang w:val="en-US"/>
        </w:rPr>
        <w:t>and exposures</w:t>
      </w:r>
      <w:r w:rsidR="00B21AAA">
        <w:rPr>
          <w:color w:val="000000" w:themeColor="text1"/>
          <w:lang w:val="en-US"/>
        </w:rPr>
        <w:t xml:space="preserve"> not certain to occur</w:t>
      </w:r>
      <w:r w:rsidR="00E24AA0">
        <w:t>, and includes</w:t>
      </w:r>
      <w:r w:rsidR="0027454B">
        <w:t>:</w:t>
      </w:r>
    </w:p>
    <w:p w14:paraId="0E783AAF" w14:textId="190AAFA9" w:rsidR="0017626A" w:rsidRPr="00AF2A12" w:rsidRDefault="005304EE" w:rsidP="00667C97">
      <w:pPr>
        <w:pStyle w:val="Annalstext"/>
        <w:numPr>
          <w:ilvl w:val="3"/>
          <w:numId w:val="61"/>
        </w:numPr>
        <w:spacing w:before="240"/>
        <w:ind w:left="360"/>
        <w:rPr>
          <w:color w:val="000000" w:themeColor="text1"/>
          <w:lang w:val="en-US"/>
        </w:rPr>
      </w:pPr>
      <w:r>
        <w:rPr>
          <w:color w:val="000000" w:themeColor="text1"/>
          <w:lang w:val="en-US"/>
        </w:rPr>
        <w:t xml:space="preserve">the </w:t>
      </w:r>
      <w:r w:rsidR="0017626A">
        <w:rPr>
          <w:color w:val="000000" w:themeColor="text1"/>
          <w:lang w:val="en-US"/>
        </w:rPr>
        <w:t xml:space="preserve">selection of an appropriate reference </w:t>
      </w:r>
      <w:proofErr w:type="gramStart"/>
      <w:r w:rsidR="0017626A">
        <w:rPr>
          <w:color w:val="000000" w:themeColor="text1"/>
          <w:lang w:val="en-US"/>
        </w:rPr>
        <w:t>level;</w:t>
      </w:r>
      <w:proofErr w:type="gramEnd"/>
    </w:p>
    <w:p w14:paraId="356FFAEE" w14:textId="6D2CD608" w:rsidR="00797C13" w:rsidRPr="00AF2A12" w:rsidRDefault="0027454B" w:rsidP="00667C97">
      <w:pPr>
        <w:pStyle w:val="Annalstext"/>
        <w:numPr>
          <w:ilvl w:val="3"/>
          <w:numId w:val="61"/>
        </w:numPr>
        <w:ind w:left="360"/>
        <w:rPr>
          <w:color w:val="000000" w:themeColor="text1"/>
          <w:lang w:val="en-US"/>
        </w:rPr>
      </w:pPr>
      <w:r>
        <w:rPr>
          <w:color w:val="000000" w:themeColor="text1"/>
          <w:lang w:val="en-US"/>
        </w:rPr>
        <w:t xml:space="preserve">the </w:t>
      </w:r>
      <w:r w:rsidR="00797C13" w:rsidRPr="00AF2A12">
        <w:rPr>
          <w:color w:val="000000" w:themeColor="text1"/>
          <w:lang w:val="en-US"/>
        </w:rPr>
        <w:t xml:space="preserve">identification of </w:t>
      </w:r>
      <w:r w:rsidR="00DF7DE1">
        <w:rPr>
          <w:color w:val="000000" w:themeColor="text1"/>
          <w:lang w:val="en-US"/>
        </w:rPr>
        <w:t>possible actions</w:t>
      </w:r>
      <w:r w:rsidR="00797C13" w:rsidRPr="00AF2A12">
        <w:rPr>
          <w:color w:val="000000" w:themeColor="text1"/>
          <w:lang w:val="en-US"/>
        </w:rPr>
        <w:t xml:space="preserve"> to </w:t>
      </w:r>
      <w:r w:rsidR="00BC17DF">
        <w:rPr>
          <w:color w:val="000000" w:themeColor="text1"/>
          <w:lang w:val="en-US"/>
        </w:rPr>
        <w:t xml:space="preserve">maintain or </w:t>
      </w:r>
      <w:r w:rsidR="00797C13" w:rsidRPr="00AF2A12">
        <w:rPr>
          <w:color w:val="000000" w:themeColor="text1"/>
          <w:lang w:val="en-US"/>
        </w:rPr>
        <w:t>reduce exposure as low as reasonably achievable, taking into account economic and societal factors</w:t>
      </w:r>
      <w:r w:rsidR="00C575E8">
        <w:rPr>
          <w:color w:val="000000" w:themeColor="text1"/>
          <w:lang w:val="en-US"/>
        </w:rPr>
        <w:t xml:space="preserve"> and the protection of the </w:t>
      </w:r>
      <w:proofErr w:type="gramStart"/>
      <w:r w:rsidR="00C575E8">
        <w:rPr>
          <w:color w:val="000000" w:themeColor="text1"/>
          <w:lang w:val="en-US"/>
        </w:rPr>
        <w:t>environment</w:t>
      </w:r>
      <w:r w:rsidR="00797C13" w:rsidRPr="00AF2A12">
        <w:rPr>
          <w:color w:val="000000" w:themeColor="text1"/>
          <w:lang w:val="en-US"/>
        </w:rPr>
        <w:t>;</w:t>
      </w:r>
      <w:proofErr w:type="gramEnd"/>
      <w:r w:rsidR="00797C13" w:rsidRPr="00AF2A12">
        <w:rPr>
          <w:color w:val="000000" w:themeColor="text1"/>
          <w:lang w:val="en-US"/>
        </w:rPr>
        <w:t xml:space="preserve"> </w:t>
      </w:r>
    </w:p>
    <w:p w14:paraId="23FA4E82" w14:textId="3129383A" w:rsidR="00797C13" w:rsidRDefault="0027454B" w:rsidP="00667C97">
      <w:pPr>
        <w:pStyle w:val="Annalstext"/>
        <w:numPr>
          <w:ilvl w:val="3"/>
          <w:numId w:val="61"/>
        </w:numPr>
        <w:ind w:left="360"/>
        <w:rPr>
          <w:color w:val="000000" w:themeColor="text1"/>
          <w:lang w:val="en-US"/>
        </w:rPr>
      </w:pPr>
      <w:r>
        <w:rPr>
          <w:color w:val="000000" w:themeColor="text1"/>
          <w:lang w:val="en-US"/>
        </w:rPr>
        <w:t xml:space="preserve">the </w:t>
      </w:r>
      <w:r w:rsidR="00797C13" w:rsidRPr="00AF2A12">
        <w:rPr>
          <w:color w:val="000000" w:themeColor="text1"/>
          <w:lang w:val="en-US"/>
        </w:rPr>
        <w:t xml:space="preserve">selection and implementation of the most appropriate </w:t>
      </w:r>
      <w:r w:rsidR="00FF5FB9" w:rsidRPr="00AF2A12">
        <w:rPr>
          <w:color w:val="000000" w:themeColor="text1"/>
          <w:lang w:val="en-US"/>
        </w:rPr>
        <w:t>remedia</w:t>
      </w:r>
      <w:r w:rsidR="00FF5FB9">
        <w:rPr>
          <w:color w:val="000000" w:themeColor="text1"/>
          <w:lang w:val="en-US"/>
        </w:rPr>
        <w:t>l</w:t>
      </w:r>
      <w:r w:rsidR="00FF5FB9" w:rsidRPr="00AF2A12">
        <w:rPr>
          <w:color w:val="000000" w:themeColor="text1"/>
          <w:lang w:val="en-US"/>
        </w:rPr>
        <w:t xml:space="preserve"> </w:t>
      </w:r>
      <w:r w:rsidR="00C575E8">
        <w:rPr>
          <w:color w:val="000000" w:themeColor="text1"/>
          <w:lang w:val="en-US"/>
        </w:rPr>
        <w:t>actions</w:t>
      </w:r>
      <w:r w:rsidR="00C575E8" w:rsidRPr="00AF2A12">
        <w:rPr>
          <w:color w:val="000000" w:themeColor="text1"/>
          <w:lang w:val="en-US"/>
        </w:rPr>
        <w:t xml:space="preserve"> </w:t>
      </w:r>
      <w:r w:rsidR="00797C13" w:rsidRPr="00AF2A12">
        <w:rPr>
          <w:color w:val="000000" w:themeColor="text1"/>
          <w:lang w:val="en-US"/>
        </w:rPr>
        <w:t xml:space="preserve">under the prevailing </w:t>
      </w:r>
      <w:proofErr w:type="gramStart"/>
      <w:r w:rsidR="00797C13" w:rsidRPr="00AF2A12">
        <w:rPr>
          <w:color w:val="000000" w:themeColor="text1"/>
          <w:lang w:val="en-US"/>
        </w:rPr>
        <w:t>circumstances;</w:t>
      </w:r>
      <w:proofErr w:type="gramEnd"/>
      <w:r w:rsidR="00797C13" w:rsidRPr="00AF2A12">
        <w:rPr>
          <w:color w:val="000000" w:themeColor="text1"/>
          <w:lang w:val="en-US"/>
        </w:rPr>
        <w:t xml:space="preserve"> </w:t>
      </w:r>
    </w:p>
    <w:p w14:paraId="54A2A718" w14:textId="2CF8B055" w:rsidR="00797C13" w:rsidRPr="00AF2A12" w:rsidRDefault="0027454B" w:rsidP="00667C97">
      <w:pPr>
        <w:pStyle w:val="Annalstext"/>
        <w:numPr>
          <w:ilvl w:val="3"/>
          <w:numId w:val="61"/>
        </w:numPr>
        <w:ind w:left="360"/>
        <w:rPr>
          <w:color w:val="000000" w:themeColor="text1"/>
          <w:lang w:val="en-US"/>
        </w:rPr>
      </w:pPr>
      <w:r>
        <w:rPr>
          <w:color w:val="000000" w:themeColor="text1"/>
          <w:lang w:val="en-US"/>
        </w:rPr>
        <w:t xml:space="preserve">the </w:t>
      </w:r>
      <w:r w:rsidR="00797C13" w:rsidRPr="00AF2A12">
        <w:rPr>
          <w:color w:val="000000" w:themeColor="text1"/>
          <w:lang w:val="en-US"/>
        </w:rPr>
        <w:t xml:space="preserve">review of the exposure situation </w:t>
      </w:r>
      <w:r w:rsidR="00584FD3">
        <w:rPr>
          <w:color w:val="000000" w:themeColor="text1"/>
          <w:lang w:val="en-US"/>
        </w:rPr>
        <w:t xml:space="preserve">after remediation </w:t>
      </w:r>
      <w:r w:rsidR="00797C13" w:rsidRPr="00AF2A12">
        <w:rPr>
          <w:color w:val="000000" w:themeColor="text1"/>
          <w:lang w:val="en-US"/>
        </w:rPr>
        <w:t xml:space="preserve">to evaluate if there is a need for </w:t>
      </w:r>
      <w:r w:rsidR="0005373E">
        <w:rPr>
          <w:color w:val="000000" w:themeColor="text1"/>
          <w:lang w:val="en-US"/>
        </w:rPr>
        <w:t xml:space="preserve">further </w:t>
      </w:r>
      <w:r w:rsidR="00FF5FB9">
        <w:rPr>
          <w:color w:val="000000" w:themeColor="text1"/>
          <w:lang w:val="en-US"/>
        </w:rPr>
        <w:t xml:space="preserve">remedial </w:t>
      </w:r>
      <w:r w:rsidR="00797C13" w:rsidRPr="00AF2A12">
        <w:rPr>
          <w:color w:val="000000" w:themeColor="text1"/>
          <w:lang w:val="en-US"/>
        </w:rPr>
        <w:t>actions or if new opportunities for improving protection have emerged;</w:t>
      </w:r>
      <w:r w:rsidR="00BA7487">
        <w:rPr>
          <w:color w:val="000000" w:themeColor="text1"/>
          <w:lang w:val="en-US"/>
        </w:rPr>
        <w:t xml:space="preserve"> and,</w:t>
      </w:r>
    </w:p>
    <w:p w14:paraId="7EF123B3" w14:textId="2D22ADA9" w:rsidR="00797C13" w:rsidRPr="00AF2A12" w:rsidRDefault="00797C13" w:rsidP="00667C97">
      <w:pPr>
        <w:pStyle w:val="Annalstext"/>
        <w:numPr>
          <w:ilvl w:val="3"/>
          <w:numId w:val="61"/>
        </w:numPr>
        <w:spacing w:after="240"/>
        <w:ind w:left="360"/>
        <w:rPr>
          <w:color w:val="000000" w:themeColor="text1"/>
        </w:rPr>
      </w:pPr>
      <w:r w:rsidRPr="00AF2A12">
        <w:rPr>
          <w:color w:val="000000" w:themeColor="text1"/>
          <w:lang w:val="en-US"/>
        </w:rPr>
        <w:t xml:space="preserve">short, </w:t>
      </w:r>
      <w:proofErr w:type="gramStart"/>
      <w:r w:rsidRPr="00AF2A12">
        <w:rPr>
          <w:color w:val="000000" w:themeColor="text1"/>
          <w:lang w:val="en-US"/>
        </w:rPr>
        <w:t>medium</w:t>
      </w:r>
      <w:proofErr w:type="gramEnd"/>
      <w:r w:rsidRPr="00AF2A12">
        <w:rPr>
          <w:color w:val="000000" w:themeColor="text1"/>
          <w:lang w:val="en-US"/>
        </w:rPr>
        <w:t xml:space="preserve"> or long-term monitoring of the environment</w:t>
      </w:r>
      <w:r w:rsidR="006A670B" w:rsidRPr="00AF2A12">
        <w:rPr>
          <w:color w:val="000000" w:themeColor="text1"/>
          <w:lang w:val="en-US"/>
        </w:rPr>
        <w:t>,</w:t>
      </w:r>
      <w:r w:rsidRPr="00AF2A12">
        <w:rPr>
          <w:color w:val="000000" w:themeColor="text1"/>
          <w:lang w:val="en-US"/>
        </w:rPr>
        <w:t xml:space="preserve"> as required.</w:t>
      </w:r>
    </w:p>
    <w:p w14:paraId="4F493805" w14:textId="3A98DDAA" w:rsidR="00090A57" w:rsidRDefault="0012548D" w:rsidP="000771AC">
      <w:pPr>
        <w:pStyle w:val="ICRPnumberedparagraph"/>
        <w:numPr>
          <w:ilvl w:val="0"/>
          <w:numId w:val="13"/>
        </w:numPr>
        <w:tabs>
          <w:tab w:val="num" w:pos="630"/>
        </w:tabs>
        <w:ind w:left="0"/>
      </w:pPr>
      <w:r w:rsidRPr="0056791A">
        <w:t>Detailed advice from the Commission on how to apply the optimi</w:t>
      </w:r>
      <w:r w:rsidR="003A0D60">
        <w:t>s</w:t>
      </w:r>
      <w:r w:rsidRPr="0056791A">
        <w:t xml:space="preserve">ation </w:t>
      </w:r>
      <w:r w:rsidR="000366B2" w:rsidRPr="00F71EE0">
        <w:t>of protection</w:t>
      </w:r>
      <w:r w:rsidR="000366B2">
        <w:t xml:space="preserve"> </w:t>
      </w:r>
      <w:r w:rsidRPr="0056791A">
        <w:t>principle in practice has been provided previously (ICRP, 1983, 1990, 1991, 2006</w:t>
      </w:r>
      <w:r w:rsidR="008D4DB6">
        <w:rPr>
          <w:rFonts w:hint="eastAsia"/>
        </w:rPr>
        <w:t>b</w:t>
      </w:r>
      <w:r w:rsidRPr="0056791A">
        <w:t xml:space="preserve">). This includes </w:t>
      </w:r>
      <w:r w:rsidR="00C4035E">
        <w:t xml:space="preserve">the recommendation </w:t>
      </w:r>
      <w:r w:rsidRPr="0056791A">
        <w:t>that, in the case of optim</w:t>
      </w:r>
      <w:r w:rsidR="002D67F8">
        <w:t>is</w:t>
      </w:r>
      <w:r w:rsidRPr="0056791A">
        <w:t>ation assessments, realistic models should be used</w:t>
      </w:r>
      <w:r w:rsidR="00E40520">
        <w:t>.</w:t>
      </w:r>
    </w:p>
    <w:p w14:paraId="46F6F5B4" w14:textId="77777777" w:rsidR="00590428" w:rsidRPr="005D6331" w:rsidRDefault="00590428" w:rsidP="00590428">
      <w:pPr>
        <w:pStyle w:val="ICRPnumberedparagraph"/>
        <w:numPr>
          <w:ilvl w:val="0"/>
          <w:numId w:val="13"/>
        </w:numPr>
        <w:tabs>
          <w:tab w:val="num" w:pos="630"/>
        </w:tabs>
        <w:ind w:left="0"/>
      </w:pPr>
      <w:r w:rsidRPr="005D6331">
        <w:t xml:space="preserve">To avoid serious inequity in the </w:t>
      </w:r>
      <w:r>
        <w:t xml:space="preserve">distribution of </w:t>
      </w:r>
      <w:r w:rsidRPr="005D6331">
        <w:t>individual dose</w:t>
      </w:r>
      <w:r>
        <w:t xml:space="preserve">s to </w:t>
      </w:r>
      <w:r w:rsidRPr="005D6331">
        <w:t>humans, in line with the ethical value of justice (ICRP, 2018), the Commission recommends using individual dose criteria in the optimisation process (ICRP, 2007).</w:t>
      </w:r>
    </w:p>
    <w:p w14:paraId="0B3CC4B9" w14:textId="18E30C24" w:rsidR="00590428" w:rsidRPr="00CA3229" w:rsidRDefault="00590428" w:rsidP="00590428">
      <w:pPr>
        <w:pStyle w:val="ICRPnumberedparagraph"/>
        <w:numPr>
          <w:ilvl w:val="0"/>
          <w:numId w:val="13"/>
        </w:numPr>
        <w:tabs>
          <w:tab w:val="num" w:pos="630"/>
        </w:tabs>
        <w:ind w:left="0"/>
        <w:rPr>
          <w:strike/>
        </w:rPr>
      </w:pPr>
      <w:r w:rsidRPr="005D6331">
        <w:t>The Commission recommends the use of reference levels as dose criteria in existing exposure situations. The reference level applies to the dose</w:t>
      </w:r>
      <w:r>
        <w:t xml:space="preserve"> associated with the contaminated area</w:t>
      </w:r>
      <w:r w:rsidRPr="005D6331">
        <w:t xml:space="preserve"> </w:t>
      </w:r>
      <w:proofErr w:type="gramStart"/>
      <w:r w:rsidRPr="005D6331">
        <w:t>in excess of</w:t>
      </w:r>
      <w:proofErr w:type="gramEnd"/>
      <w:r w:rsidRPr="005D6331">
        <w:t xml:space="preserve"> </w:t>
      </w:r>
      <w:r w:rsidR="000C2584">
        <w:t xml:space="preserve">the </w:t>
      </w:r>
      <w:r w:rsidRPr="005D6331">
        <w:t>natural background</w:t>
      </w:r>
      <w:r w:rsidR="00170D71">
        <w:t>,</w:t>
      </w:r>
      <w:r w:rsidR="00A01D52">
        <w:t xml:space="preserve"> provided that this excess is identifiable</w:t>
      </w:r>
      <w:r w:rsidRPr="005D6331">
        <w:t xml:space="preserve">. </w:t>
      </w:r>
      <w:r>
        <w:t>The reference level</w:t>
      </w:r>
      <w:r w:rsidRPr="005D6331">
        <w:t xml:space="preserve"> is the value of dose used to guide and drive the optimisation process</w:t>
      </w:r>
      <w:r w:rsidR="00A01D52">
        <w:t>.</w:t>
      </w:r>
      <w:r>
        <w:t xml:space="preserve"> It is expected that following the implementation of the protection strategy, the residual exposure of members of the public will be below the reference level.</w:t>
      </w:r>
    </w:p>
    <w:p w14:paraId="3553A7E0" w14:textId="6E20CE5F" w:rsidR="00590428" w:rsidRPr="005D6331" w:rsidRDefault="00590428" w:rsidP="00590428">
      <w:pPr>
        <w:pStyle w:val="ICRPnumberedparagraph"/>
        <w:numPr>
          <w:ilvl w:val="0"/>
          <w:numId w:val="13"/>
        </w:numPr>
        <w:tabs>
          <w:tab w:val="num" w:pos="630"/>
        </w:tabs>
        <w:ind w:left="0"/>
      </w:pPr>
      <w:r w:rsidRPr="005D6331">
        <w:t>For the protection of humans in existing exposure situations, the Commission recommends setting reference levels typically within the 1–20 mSv y</w:t>
      </w:r>
      <w:r w:rsidR="00525DB8">
        <w:t>ear</w:t>
      </w:r>
      <w:r w:rsidR="00F1172B">
        <w:rPr>
          <w:vertAlign w:val="superscript"/>
        </w:rPr>
        <w:t>−</w:t>
      </w:r>
      <w:r w:rsidRPr="00F71EE0">
        <w:rPr>
          <w:vertAlign w:val="superscript"/>
        </w:rPr>
        <w:t>1</w:t>
      </w:r>
      <w:r w:rsidRPr="005D6331">
        <w:t xml:space="preserve"> band as presented in Table 5 of </w:t>
      </w:r>
      <w:r w:rsidRPr="00667C97">
        <w:rPr>
          <w:i/>
          <w:iCs/>
        </w:rPr>
        <w:t>Publication 103</w:t>
      </w:r>
      <w:r w:rsidRPr="005D6331">
        <w:t xml:space="preserve"> (ICRP, 2007)</w:t>
      </w:r>
      <w:r w:rsidR="007F2112">
        <w:t>.</w:t>
      </w:r>
      <w:r w:rsidRPr="005D6331">
        <w:t xml:space="preserve"> </w:t>
      </w:r>
      <w:r w:rsidR="00082141">
        <w:t>As shown in the case studies in the annex</w:t>
      </w:r>
      <w:r w:rsidR="00780612">
        <w:t xml:space="preserve">, areas </w:t>
      </w:r>
      <w:r w:rsidR="002756DB" w:rsidRPr="002756DB">
        <w:lastRenderedPageBreak/>
        <w:t>contaminated by past activities usually give rise to low levels of individual exposure</w:t>
      </w:r>
      <w:r w:rsidR="0007272A">
        <w:t xml:space="preserve">, of the order </w:t>
      </w:r>
      <w:r w:rsidR="00820D81">
        <w:t xml:space="preserve">of a few </w:t>
      </w:r>
      <w:r w:rsidR="00820D81" w:rsidRPr="00820D81">
        <w:t xml:space="preserve">mSv </w:t>
      </w:r>
      <w:proofErr w:type="gramStart"/>
      <w:r w:rsidR="00820D81" w:rsidRPr="00820D81">
        <w:t>y</w:t>
      </w:r>
      <w:r w:rsidR="00A702F0">
        <w:t>ear</w:t>
      </w:r>
      <w:r w:rsidR="00A702F0">
        <w:rPr>
          <w:vertAlign w:val="superscript"/>
        </w:rPr>
        <w:t>−</w:t>
      </w:r>
      <w:r w:rsidR="00820D81" w:rsidRPr="009A684F">
        <w:rPr>
          <w:vertAlign w:val="superscript"/>
        </w:rPr>
        <w:t>1</w:t>
      </w:r>
      <w:proofErr w:type="gramEnd"/>
      <w:r w:rsidR="00AF0EA9">
        <w:t xml:space="preserve">. </w:t>
      </w:r>
      <w:r w:rsidR="002A3673">
        <w:t xml:space="preserve">Consequently, </w:t>
      </w:r>
      <w:r w:rsidR="0065214C">
        <w:t>for the management of exposure of the public in areas contaminated by past activities</w:t>
      </w:r>
      <w:r w:rsidR="001479C1">
        <w:t xml:space="preserve">, </w:t>
      </w:r>
      <w:r w:rsidR="00156AB4" w:rsidRPr="00156AB4">
        <w:t>the Commission recommends selecting</w:t>
      </w:r>
      <w:r w:rsidR="00306031">
        <w:t>,</w:t>
      </w:r>
      <w:r w:rsidR="00156AB4" w:rsidRPr="00156AB4">
        <w:t xml:space="preserve"> </w:t>
      </w:r>
      <w:r w:rsidR="00156AB4">
        <w:t>where possible</w:t>
      </w:r>
      <w:r w:rsidR="00306031">
        <w:t>,</w:t>
      </w:r>
      <w:r w:rsidR="00156AB4">
        <w:t xml:space="preserve"> </w:t>
      </w:r>
      <w:r w:rsidR="00156AB4" w:rsidRPr="00156AB4">
        <w:t>a reference level in the lower half of the 1 to 20 mSv per year</w:t>
      </w:r>
      <w:r w:rsidR="00487823">
        <w:t xml:space="preserve"> band.</w:t>
      </w:r>
      <w:r w:rsidR="00156AB4" w:rsidRPr="00156AB4">
        <w:t xml:space="preserve"> </w:t>
      </w:r>
      <w:r w:rsidR="00892760" w:rsidRPr="00892760">
        <w:t xml:space="preserve">The </w:t>
      </w:r>
      <w:r w:rsidR="003A4CA6">
        <w:t>C</w:t>
      </w:r>
      <w:r w:rsidR="00892760" w:rsidRPr="00892760">
        <w:t>ommission recogni</w:t>
      </w:r>
      <w:r w:rsidR="001678D6">
        <w:t>s</w:t>
      </w:r>
      <w:r w:rsidR="00892760" w:rsidRPr="00892760">
        <w:t xml:space="preserve">es that in some circumstances, the reference level agreed between stakeholders could </w:t>
      </w:r>
      <w:r w:rsidR="009332E9">
        <w:t xml:space="preserve">be </w:t>
      </w:r>
      <w:r w:rsidR="00376972">
        <w:t>less than</w:t>
      </w:r>
      <w:r w:rsidR="009332E9" w:rsidRPr="009332E9">
        <w:t xml:space="preserve"> 1 mSv </w:t>
      </w:r>
      <w:proofErr w:type="gramStart"/>
      <w:r w:rsidR="009332E9" w:rsidRPr="009332E9">
        <w:t>y</w:t>
      </w:r>
      <w:r w:rsidR="00A702F0">
        <w:t>ear</w:t>
      </w:r>
      <w:r w:rsidR="00A702F0">
        <w:rPr>
          <w:vertAlign w:val="superscript"/>
        </w:rPr>
        <w:t>−</w:t>
      </w:r>
      <w:r w:rsidR="009332E9" w:rsidRPr="009A684F">
        <w:rPr>
          <w:vertAlign w:val="superscript"/>
        </w:rPr>
        <w:t>1</w:t>
      </w:r>
      <w:proofErr w:type="gramEnd"/>
      <w:r w:rsidR="006045B6">
        <w:t xml:space="preserve">. </w:t>
      </w:r>
      <w:r w:rsidR="00442070">
        <w:t>Regardless of the reference level selected, it should be chosen</w:t>
      </w:r>
      <w:r w:rsidR="008D0B39">
        <w:t xml:space="preserve"> </w:t>
      </w:r>
      <w:r w:rsidR="007F2112" w:rsidRPr="005D6331">
        <w:t xml:space="preserve">based on the characteristics of the </w:t>
      </w:r>
      <w:r w:rsidR="007F2112">
        <w:t>situation</w:t>
      </w:r>
      <w:r w:rsidR="007F2112" w:rsidRPr="005D6331">
        <w:t xml:space="preserve"> (ICRP, 2007, Para. 234)</w:t>
      </w:r>
      <w:r w:rsidR="00944E0A">
        <w:t xml:space="preserve"> and following </w:t>
      </w:r>
      <w:r w:rsidR="003E5180">
        <w:t xml:space="preserve">discussion with all relevant stakeholders </w:t>
      </w:r>
      <w:r w:rsidR="00A875F7">
        <w:t>as discussed in Section 3.</w:t>
      </w:r>
      <w:r w:rsidR="00982ECE">
        <w:t>5</w:t>
      </w:r>
      <w:r w:rsidR="00A875F7">
        <w:t>.</w:t>
      </w:r>
      <w:r w:rsidR="00944E0A">
        <w:t xml:space="preserve"> </w:t>
      </w:r>
    </w:p>
    <w:p w14:paraId="1A179EC8" w14:textId="6432CE1C" w:rsidR="00590428" w:rsidRPr="005D6331" w:rsidRDefault="00590428" w:rsidP="00590428">
      <w:pPr>
        <w:pStyle w:val="ICRPnumberedparagraph"/>
        <w:numPr>
          <w:ilvl w:val="0"/>
          <w:numId w:val="13"/>
        </w:numPr>
        <w:tabs>
          <w:tab w:val="num" w:pos="630"/>
        </w:tabs>
        <w:ind w:left="0"/>
      </w:pPr>
      <w:r>
        <w:t>R</w:t>
      </w:r>
      <w:r w:rsidRPr="005D6331">
        <w:t xml:space="preserve">esources and efforts </w:t>
      </w:r>
      <w:r>
        <w:t>spent</w:t>
      </w:r>
      <w:r w:rsidRPr="005D6331">
        <w:t xml:space="preserve"> on protection </w:t>
      </w:r>
      <w:r>
        <w:t xml:space="preserve">should be </w:t>
      </w:r>
      <w:r w:rsidRPr="005D6331">
        <w:t xml:space="preserve">commensurate with the </w:t>
      </w:r>
      <w:r>
        <w:t>level of</w:t>
      </w:r>
      <w:r w:rsidRPr="005D6331">
        <w:t xml:space="preserve"> risks</w:t>
      </w:r>
      <w:r>
        <w:t xml:space="preserve"> (graded approach)</w:t>
      </w:r>
      <w:r w:rsidRPr="005D6331">
        <w:t xml:space="preserve">, </w:t>
      </w:r>
      <w:proofErr w:type="gramStart"/>
      <w:r w:rsidRPr="005D6331">
        <w:t>taking into account</w:t>
      </w:r>
      <w:proofErr w:type="gramEnd"/>
      <w:r w:rsidRPr="005D6331">
        <w:t xml:space="preserve"> the </w:t>
      </w:r>
      <w:r>
        <w:t>various</w:t>
      </w:r>
      <w:r w:rsidRPr="005D6331">
        <w:t xml:space="preserve"> human health and environmental hazards.</w:t>
      </w:r>
    </w:p>
    <w:p w14:paraId="17332A7D" w14:textId="491FE609" w:rsidR="00590428" w:rsidRPr="005D6331" w:rsidRDefault="00590428" w:rsidP="00590428">
      <w:pPr>
        <w:pStyle w:val="ICRPnumberedparagraph"/>
        <w:numPr>
          <w:ilvl w:val="0"/>
          <w:numId w:val="13"/>
        </w:numPr>
        <w:tabs>
          <w:tab w:val="num" w:pos="630"/>
        </w:tabs>
        <w:ind w:left="0"/>
      </w:pPr>
      <w:r w:rsidRPr="005D6331">
        <w:t xml:space="preserve">Radon </w:t>
      </w:r>
      <w:proofErr w:type="gramStart"/>
      <w:r w:rsidRPr="005D6331">
        <w:t>exposure</w:t>
      </w:r>
      <w:r>
        <w:t xml:space="preserve">, </w:t>
      </w:r>
      <w:r w:rsidR="00CA2CAA">
        <w:t>when</w:t>
      </w:r>
      <w:proofErr w:type="gramEnd"/>
      <w:r w:rsidR="00CA2CAA">
        <w:t xml:space="preserve"> present,</w:t>
      </w:r>
      <w:r w:rsidRPr="005D6331">
        <w:t xml:space="preserve"> should be managed according to ICRP </w:t>
      </w:r>
      <w:r w:rsidRPr="00667C97">
        <w:rPr>
          <w:i/>
          <w:iCs/>
        </w:rPr>
        <w:t>Publication 126</w:t>
      </w:r>
      <w:r w:rsidRPr="005D6331">
        <w:t xml:space="preserve"> (ICRP, 2014b).</w:t>
      </w:r>
    </w:p>
    <w:p w14:paraId="72135208" w14:textId="2A393437" w:rsidR="0027454B" w:rsidRPr="005D6331" w:rsidRDefault="0027454B" w:rsidP="003B6E87">
      <w:pPr>
        <w:pStyle w:val="2"/>
        <w:numPr>
          <w:ilvl w:val="1"/>
          <w:numId w:val="42"/>
        </w:numPr>
        <w:spacing w:before="480"/>
        <w:jc w:val="left"/>
      </w:pPr>
      <w:bookmarkStart w:id="52" w:name="_Toc159397472"/>
      <w:bookmarkStart w:id="53" w:name="_Toc166586810"/>
      <w:r>
        <w:t>Stakeholder engagement</w:t>
      </w:r>
      <w:bookmarkEnd w:id="52"/>
      <w:bookmarkEnd w:id="53"/>
    </w:p>
    <w:p w14:paraId="6A3EF829" w14:textId="13CE8E58" w:rsidR="009A40DD" w:rsidRDefault="0027454B" w:rsidP="0027454B">
      <w:pPr>
        <w:pStyle w:val="ICRPnumberedparagraph"/>
        <w:numPr>
          <w:ilvl w:val="0"/>
          <w:numId w:val="13"/>
        </w:numPr>
        <w:tabs>
          <w:tab w:val="num" w:pos="630"/>
        </w:tabs>
        <w:ind w:left="0"/>
      </w:pPr>
      <w:r w:rsidRPr="0056791A">
        <w:t>Optimisation</w:t>
      </w:r>
      <w:r>
        <w:t xml:space="preserve"> of protection</w:t>
      </w:r>
      <w:r w:rsidRPr="0056791A">
        <w:t xml:space="preserve">, as a process, should be open and transparent from the beginning. </w:t>
      </w:r>
      <w:r>
        <w:t>T</w:t>
      </w:r>
      <w:r w:rsidRPr="0056791A">
        <w:t xml:space="preserve">he </w:t>
      </w:r>
      <w:r w:rsidR="00B6676D">
        <w:t xml:space="preserve">development and </w:t>
      </w:r>
      <w:r w:rsidRPr="0056791A">
        <w:t>definition of relevant exposure scenarios</w:t>
      </w:r>
      <w:r>
        <w:t xml:space="preserve"> should </w:t>
      </w:r>
      <w:r w:rsidR="000778BB">
        <w:t xml:space="preserve">incorporate </w:t>
      </w:r>
      <w:r w:rsidRPr="0056791A">
        <w:t>knowledge</w:t>
      </w:r>
      <w:r>
        <w:t xml:space="preserve"> </w:t>
      </w:r>
      <w:r w:rsidR="000778BB">
        <w:t>gained from</w:t>
      </w:r>
      <w:r>
        <w:t xml:space="preserve"> local stakeholders</w:t>
      </w:r>
      <w:r w:rsidRPr="0056791A">
        <w:t>,</w:t>
      </w:r>
      <w:r>
        <w:t xml:space="preserve"> whose involvement</w:t>
      </w:r>
      <w:r w:rsidRPr="0056791A">
        <w:t xml:space="preserve"> is valuable and can contribute significantly to the quality of the optimisation process</w:t>
      </w:r>
      <w:r w:rsidR="00CE7C75">
        <w:t>.</w:t>
      </w:r>
    </w:p>
    <w:p w14:paraId="0CC33575" w14:textId="52EA560A" w:rsidR="0027454B" w:rsidRDefault="0027454B" w:rsidP="0027454B">
      <w:pPr>
        <w:pStyle w:val="ICRPnumberedparagraph"/>
        <w:numPr>
          <w:ilvl w:val="0"/>
          <w:numId w:val="13"/>
        </w:numPr>
        <w:tabs>
          <w:tab w:val="num" w:pos="630"/>
        </w:tabs>
        <w:ind w:left="0"/>
      </w:pPr>
      <w:r w:rsidRPr="0056791A">
        <w:t xml:space="preserve">A traceable system for decision-making will allow controversial issues to be addressed </w:t>
      </w:r>
      <w:r w:rsidR="000C5D6E">
        <w:t xml:space="preserve">appropriately </w:t>
      </w:r>
      <w:r w:rsidRPr="0056791A">
        <w:t xml:space="preserve">and resolved, although not necessarily with </w:t>
      </w:r>
      <w:r w:rsidR="00A41D6A">
        <w:t>complete</w:t>
      </w:r>
      <w:r w:rsidRPr="0056791A">
        <w:t xml:space="preserve"> agreement from all parties.</w:t>
      </w:r>
    </w:p>
    <w:p w14:paraId="37E686F2" w14:textId="713DD95A" w:rsidR="0027454B" w:rsidRPr="005D6331" w:rsidRDefault="00B92E46" w:rsidP="0027454B">
      <w:pPr>
        <w:pStyle w:val="ICRPnumberedparagraph"/>
        <w:numPr>
          <w:ilvl w:val="0"/>
          <w:numId w:val="13"/>
        </w:numPr>
        <w:tabs>
          <w:tab w:val="num" w:pos="630"/>
        </w:tabs>
        <w:ind w:left="0"/>
      </w:pPr>
      <w:r>
        <w:t>Local s</w:t>
      </w:r>
      <w:r w:rsidR="0027454B" w:rsidRPr="0056791A">
        <w:t xml:space="preserve">takeholders will </w:t>
      </w:r>
      <w:r w:rsidR="0027454B">
        <w:t xml:space="preserve">need to </w:t>
      </w:r>
      <w:r w:rsidR="0027454B" w:rsidRPr="0056791A">
        <w:t xml:space="preserve">be informed about how relevant factors </w:t>
      </w:r>
      <w:r w:rsidR="009A40DD">
        <w:t>a</w:t>
      </w:r>
      <w:r w:rsidR="0027454B" w:rsidRPr="0056791A">
        <w:t xml:space="preserve">re </w:t>
      </w:r>
      <w:proofErr w:type="gramStart"/>
      <w:r w:rsidR="0027454B" w:rsidRPr="0056791A">
        <w:t>taken into account</w:t>
      </w:r>
      <w:proofErr w:type="gramEnd"/>
      <w:r w:rsidR="0027454B" w:rsidRPr="0056791A">
        <w:t xml:space="preserve"> to select the remedia</w:t>
      </w:r>
      <w:r w:rsidR="0027454B">
        <w:t>tion</w:t>
      </w:r>
      <w:r w:rsidR="0027454B" w:rsidRPr="0056791A">
        <w:t xml:space="preserve"> options. </w:t>
      </w:r>
      <w:r w:rsidR="00F331B2">
        <w:t>A clear understanding of the reasons for the different approaches should be provided</w:t>
      </w:r>
      <w:r w:rsidR="00CE7C75">
        <w:t>,</w:t>
      </w:r>
      <w:r w:rsidR="00F331B2">
        <w:t xml:space="preserve"> to allow the differences to be understood. Local stakeholders are likely to contribute valuable input into </w:t>
      </w:r>
      <w:r w:rsidR="001B5490">
        <w:t>s</w:t>
      </w:r>
      <w:r w:rsidR="00F331B2">
        <w:t>elect</w:t>
      </w:r>
      <w:r w:rsidR="001B5490">
        <w:t>ing</w:t>
      </w:r>
      <w:r w:rsidR="00F331B2">
        <w:t xml:space="preserve"> the most appropriate final status of the site after remediation and throughout the stages through which that end-state can be achieved, in the framework of an all-hazards approach. </w:t>
      </w:r>
      <w:r w:rsidR="0027454B" w:rsidRPr="0056791A">
        <w:t xml:space="preserve">It is important to </w:t>
      </w:r>
      <w:r w:rsidR="0027454B">
        <w:t xml:space="preserve">maintain </w:t>
      </w:r>
      <w:r w:rsidR="0027454B" w:rsidRPr="0056791A">
        <w:t xml:space="preserve">dialogue with stakeholders in the decision-making process </w:t>
      </w:r>
      <w:r w:rsidR="00AD42CA" w:rsidRPr="0056791A">
        <w:t>to</w:t>
      </w:r>
      <w:r w:rsidR="0027454B" w:rsidRPr="0056791A">
        <w:t xml:space="preserve"> build confidence in the solutions being developed.</w:t>
      </w:r>
    </w:p>
    <w:p w14:paraId="54EC0068" w14:textId="601F2548" w:rsidR="00961FCF" w:rsidRPr="003B6E87" w:rsidRDefault="00E721F7" w:rsidP="003B6E87">
      <w:pPr>
        <w:pStyle w:val="ICRPnumberedparagraph"/>
        <w:numPr>
          <w:ilvl w:val="0"/>
          <w:numId w:val="13"/>
        </w:numPr>
        <w:tabs>
          <w:tab w:val="num" w:pos="630"/>
        </w:tabs>
        <w:ind w:left="0"/>
      </w:pPr>
      <w:r>
        <w:t>Dialogue between l</w:t>
      </w:r>
      <w:r w:rsidR="00590428">
        <w:t>ocal s</w:t>
      </w:r>
      <w:r w:rsidR="00590428" w:rsidRPr="005D6331">
        <w:t>takeholder</w:t>
      </w:r>
      <w:r w:rsidR="00B92E46">
        <w:t>s</w:t>
      </w:r>
      <w:r w:rsidR="00590428">
        <w:t xml:space="preserve"> </w:t>
      </w:r>
      <w:r w:rsidR="00B92E46">
        <w:t>and expert</w:t>
      </w:r>
      <w:r>
        <w:t>s</w:t>
      </w:r>
      <w:r w:rsidR="00590428" w:rsidRPr="005D6331">
        <w:t xml:space="preserve"> </w:t>
      </w:r>
      <w:r w:rsidR="00B92E46">
        <w:t>should be encouraged</w:t>
      </w:r>
      <w:r w:rsidR="004A4873">
        <w:t xml:space="preserve">. </w:t>
      </w:r>
      <w:r w:rsidR="00B92E46">
        <w:t xml:space="preserve">A co-expertise process, as described in </w:t>
      </w:r>
      <w:r w:rsidR="005360DD" w:rsidRPr="005360DD">
        <w:rPr>
          <w:i/>
          <w:iCs/>
        </w:rPr>
        <w:t>Publication 146</w:t>
      </w:r>
      <w:r w:rsidR="005360DD" w:rsidRPr="005360DD">
        <w:t xml:space="preserve"> </w:t>
      </w:r>
      <w:r w:rsidR="00B92E46">
        <w:t xml:space="preserve">(ICRP, 2020), may </w:t>
      </w:r>
      <w:r w:rsidR="00590428">
        <w:t xml:space="preserve">allow </w:t>
      </w:r>
      <w:r w:rsidR="00446C02">
        <w:t xml:space="preserve">for </w:t>
      </w:r>
      <w:r w:rsidR="00B92E46">
        <w:t xml:space="preserve">local </w:t>
      </w:r>
      <w:r w:rsidR="00590428">
        <w:t xml:space="preserve">concerns </w:t>
      </w:r>
      <w:r w:rsidR="00446C02">
        <w:t xml:space="preserve">to be better addressed </w:t>
      </w:r>
      <w:r w:rsidR="00B92E46">
        <w:t xml:space="preserve">(current and foreseen use of the land, local traditions, etc.) </w:t>
      </w:r>
      <w:r w:rsidR="00590428">
        <w:t xml:space="preserve">and </w:t>
      </w:r>
      <w:r w:rsidR="00590428" w:rsidRPr="005D6331">
        <w:t xml:space="preserve">contribute to </w:t>
      </w:r>
      <w:r w:rsidR="00590428">
        <w:t xml:space="preserve">more effective and sustainable </w:t>
      </w:r>
      <w:r w:rsidR="00590428" w:rsidRPr="005D6331">
        <w:t>decisions.</w:t>
      </w:r>
      <w:r w:rsidR="008A24BF">
        <w:t xml:space="preserve"> </w:t>
      </w:r>
      <w:r w:rsidR="008A24BF" w:rsidRPr="008A24BF">
        <w:t xml:space="preserve">This process of cooperation between experts, professionals and local stakeholders aims to share local knowledge and scientific expertise </w:t>
      </w:r>
      <w:r w:rsidR="0053577E">
        <w:t xml:space="preserve">to evaluate and </w:t>
      </w:r>
      <w:r w:rsidR="001D09D5">
        <w:t xml:space="preserve">better understand </w:t>
      </w:r>
      <w:r w:rsidR="008A24BF" w:rsidRPr="008A24BF">
        <w:t>the radiological situation, develop protective actions to protect people and the environment, and improv</w:t>
      </w:r>
      <w:r w:rsidR="00E7537E">
        <w:t>e</w:t>
      </w:r>
      <w:r w:rsidR="008A24BF" w:rsidRPr="008A24BF">
        <w:t xml:space="preserve"> living and working conditions. </w:t>
      </w:r>
      <w:r w:rsidR="00961FCF" w:rsidRPr="003B6E87">
        <w:rPr>
          <w:color w:val="000000" w:themeColor="text1"/>
          <w:lang w:val="en-US"/>
        </w:rPr>
        <w:br w:type="page"/>
      </w:r>
    </w:p>
    <w:p w14:paraId="163938B2" w14:textId="3FFC1CE4" w:rsidR="001C5CBB" w:rsidRPr="003B6E87" w:rsidRDefault="00961FCF" w:rsidP="003B6E87">
      <w:pPr>
        <w:pStyle w:val="AnnalshdgA"/>
        <w:numPr>
          <w:ilvl w:val="0"/>
          <w:numId w:val="42"/>
        </w:numPr>
        <w:tabs>
          <w:tab w:val="num" w:pos="8730"/>
        </w:tabs>
        <w:rPr>
          <w:rFonts w:eastAsia="PMingLiU"/>
          <w:caps w:val="0"/>
          <w:snapToGrid w:val="0"/>
          <w:kern w:val="0"/>
          <w:lang w:val="en-CA" w:eastAsia="en-US"/>
        </w:rPr>
      </w:pPr>
      <w:bookmarkStart w:id="54" w:name="_Toc117873834"/>
      <w:bookmarkStart w:id="55" w:name="_Toc159397473"/>
      <w:bookmarkStart w:id="56" w:name="_Toc166586811"/>
      <w:r w:rsidRPr="005813E9">
        <w:rPr>
          <w:rFonts w:eastAsia="PMingLiU"/>
          <w:caps w:val="0"/>
          <w:snapToGrid w:val="0"/>
          <w:kern w:val="0"/>
          <w:lang w:val="en-CA" w:eastAsia="en-US"/>
        </w:rPr>
        <w:lastRenderedPageBreak/>
        <w:t xml:space="preserve">IMPLEMENTATION OF THE COMMISSION’S SYSTEM OF RADIOLOGICAL PROTECTION TO </w:t>
      </w:r>
      <w:r w:rsidR="00B62BC1" w:rsidRPr="005813E9">
        <w:rPr>
          <w:rFonts w:eastAsia="PMingLiU"/>
          <w:caps w:val="0"/>
          <w:snapToGrid w:val="0"/>
          <w:kern w:val="0"/>
          <w:lang w:val="en-CA" w:eastAsia="en-US"/>
        </w:rPr>
        <w:t>AREAS</w:t>
      </w:r>
      <w:r w:rsidRPr="005813E9">
        <w:rPr>
          <w:rFonts w:eastAsia="PMingLiU"/>
          <w:caps w:val="0"/>
          <w:snapToGrid w:val="0"/>
          <w:kern w:val="0"/>
          <w:lang w:val="en-CA" w:eastAsia="en-US"/>
        </w:rPr>
        <w:t xml:space="preserve"> C</w:t>
      </w:r>
      <w:r w:rsidR="00B62BC1" w:rsidRPr="005813E9">
        <w:rPr>
          <w:rFonts w:eastAsia="PMingLiU"/>
          <w:caps w:val="0"/>
          <w:snapToGrid w:val="0"/>
          <w:kern w:val="0"/>
          <w:lang w:val="en-CA" w:eastAsia="en-US"/>
        </w:rPr>
        <w:t>ONTAMINATED BY</w:t>
      </w:r>
      <w:r w:rsidRPr="005813E9">
        <w:rPr>
          <w:rFonts w:eastAsia="PMingLiU"/>
          <w:caps w:val="0"/>
          <w:snapToGrid w:val="0"/>
          <w:kern w:val="0"/>
          <w:lang w:val="en-CA" w:eastAsia="en-US"/>
        </w:rPr>
        <w:t xml:space="preserve"> P</w:t>
      </w:r>
      <w:r w:rsidR="00B62BC1" w:rsidRPr="005813E9">
        <w:rPr>
          <w:rFonts w:eastAsia="PMingLiU"/>
          <w:caps w:val="0"/>
          <w:snapToGrid w:val="0"/>
          <w:kern w:val="0"/>
          <w:lang w:val="en-CA" w:eastAsia="en-US"/>
        </w:rPr>
        <w:t>AST</w:t>
      </w:r>
      <w:r w:rsidRPr="005813E9">
        <w:rPr>
          <w:rFonts w:eastAsia="PMingLiU"/>
          <w:caps w:val="0"/>
          <w:snapToGrid w:val="0"/>
          <w:kern w:val="0"/>
          <w:lang w:val="en-CA" w:eastAsia="en-US"/>
        </w:rPr>
        <w:t xml:space="preserve"> A</w:t>
      </w:r>
      <w:r w:rsidR="00B62BC1" w:rsidRPr="005813E9">
        <w:rPr>
          <w:rFonts w:eastAsia="PMingLiU"/>
          <w:caps w:val="0"/>
          <w:snapToGrid w:val="0"/>
          <w:kern w:val="0"/>
          <w:lang w:val="en-CA" w:eastAsia="en-US"/>
        </w:rPr>
        <w:t>CTIVITIE</w:t>
      </w:r>
      <w:r w:rsidR="00766FFC" w:rsidRPr="005813E9">
        <w:rPr>
          <w:rFonts w:eastAsia="PMingLiU"/>
          <w:caps w:val="0"/>
          <w:snapToGrid w:val="0"/>
          <w:kern w:val="0"/>
          <w:lang w:val="en-CA" w:eastAsia="en-US"/>
        </w:rPr>
        <w:t>S</w:t>
      </w:r>
      <w:bookmarkEnd w:id="54"/>
      <w:bookmarkEnd w:id="55"/>
      <w:bookmarkEnd w:id="56"/>
    </w:p>
    <w:p w14:paraId="2C40BFEF" w14:textId="342C307D" w:rsidR="0056791A" w:rsidRPr="001C5CBB" w:rsidRDefault="00A26803" w:rsidP="00754334">
      <w:pPr>
        <w:pStyle w:val="ICRPnumberedparagraph"/>
        <w:numPr>
          <w:ilvl w:val="0"/>
          <w:numId w:val="13"/>
        </w:numPr>
        <w:tabs>
          <w:tab w:val="num" w:pos="630"/>
        </w:tabs>
        <w:ind w:left="0"/>
      </w:pPr>
      <w:r w:rsidRPr="00A26803">
        <w:t xml:space="preserve">The considerations presented in this section include reference to the case studies presented in Section 2 and other examples to </w:t>
      </w:r>
      <w:r w:rsidR="00370507">
        <w:t>anchor</w:t>
      </w:r>
      <w:r w:rsidR="00370507" w:rsidRPr="00A26803">
        <w:t xml:space="preserve"> </w:t>
      </w:r>
      <w:r w:rsidRPr="00A26803">
        <w:t xml:space="preserve">the ICRP recommendations in the practical context. </w:t>
      </w:r>
      <w:r w:rsidR="001C5CBB">
        <w:t xml:space="preserve">The section </w:t>
      </w:r>
      <w:r w:rsidR="001C5CBB" w:rsidRPr="00AF2A12">
        <w:rPr>
          <w:color w:val="000000" w:themeColor="text1"/>
          <w:lang w:val="en-US"/>
        </w:rPr>
        <w:t xml:space="preserve">provides guidance on the implementation of the system of radiological protection of the public, </w:t>
      </w:r>
      <w:r w:rsidR="001C5CBB">
        <w:rPr>
          <w:color w:val="000000" w:themeColor="text1"/>
          <w:lang w:val="en-US"/>
        </w:rPr>
        <w:t xml:space="preserve">the environment and </w:t>
      </w:r>
      <w:r w:rsidR="001C5CBB" w:rsidRPr="00AF2A12">
        <w:rPr>
          <w:color w:val="000000" w:themeColor="text1"/>
          <w:lang w:val="en-US"/>
        </w:rPr>
        <w:t>remediation workers</w:t>
      </w:r>
      <w:r w:rsidR="004357EE">
        <w:rPr>
          <w:color w:val="000000" w:themeColor="text1"/>
          <w:lang w:val="en-US"/>
        </w:rPr>
        <w:t xml:space="preserve"> </w:t>
      </w:r>
      <w:r w:rsidR="004357EE" w:rsidRPr="004357EE">
        <w:rPr>
          <w:color w:val="000000" w:themeColor="text1"/>
          <w:lang w:val="en-US"/>
        </w:rPr>
        <w:t>to areas contaminated by past activities</w:t>
      </w:r>
      <w:r w:rsidR="001C5CBB">
        <w:rPr>
          <w:color w:val="000000" w:themeColor="text1"/>
          <w:lang w:val="en-US"/>
        </w:rPr>
        <w:t>.</w:t>
      </w:r>
      <w:bookmarkStart w:id="57" w:name="_Toc116310916"/>
      <w:bookmarkStart w:id="58" w:name="_Hlk116563420"/>
    </w:p>
    <w:p w14:paraId="400EB9C5" w14:textId="77777777" w:rsidR="00A26803" w:rsidRPr="00A26803" w:rsidRDefault="00A26803" w:rsidP="003B6E87">
      <w:pPr>
        <w:pStyle w:val="2"/>
        <w:numPr>
          <w:ilvl w:val="1"/>
          <w:numId w:val="42"/>
        </w:numPr>
        <w:spacing w:before="480"/>
        <w:jc w:val="left"/>
      </w:pPr>
      <w:bookmarkStart w:id="59" w:name="_Toc117873835"/>
      <w:bookmarkStart w:id="60" w:name="_Toc159397474"/>
      <w:bookmarkStart w:id="61" w:name="_Toc166586812"/>
      <w:r w:rsidRPr="0056791A">
        <w:t>General consideration</w:t>
      </w:r>
      <w:r w:rsidR="00B74D7D">
        <w:t>s</w:t>
      </w:r>
      <w:bookmarkStart w:id="62" w:name="_Hlk116562998"/>
      <w:bookmarkEnd w:id="57"/>
      <w:bookmarkEnd w:id="58"/>
      <w:bookmarkEnd w:id="59"/>
      <w:bookmarkEnd w:id="60"/>
      <w:bookmarkEnd w:id="61"/>
    </w:p>
    <w:p w14:paraId="0FF98965" w14:textId="77777777" w:rsidR="00DF3CB2" w:rsidRPr="0056791A" w:rsidRDefault="00DF3CB2" w:rsidP="00DF3CB2">
      <w:pPr>
        <w:pStyle w:val="ICRPnumberedparagraph"/>
        <w:numPr>
          <w:ilvl w:val="0"/>
          <w:numId w:val="13"/>
        </w:numPr>
        <w:tabs>
          <w:tab w:val="num" w:pos="630"/>
        </w:tabs>
        <w:ind w:left="0"/>
      </w:pPr>
      <w:bookmarkStart w:id="63" w:name="_Hlk116564172"/>
      <w:bookmarkEnd w:id="62"/>
      <w:r w:rsidRPr="00A26803">
        <w:t xml:space="preserve">The Commission considers exposures associated with an area contaminated by past activities as an existing exposure situation. </w:t>
      </w:r>
      <w:r w:rsidRPr="0056791A">
        <w:t xml:space="preserve">Each situation is unique and presents specific features. </w:t>
      </w:r>
      <w:r w:rsidR="00667A1E">
        <w:t>Such a</w:t>
      </w:r>
      <w:r w:rsidRPr="00A26803">
        <w:t xml:space="preserve"> situation often gives rise to societal concerns.</w:t>
      </w:r>
    </w:p>
    <w:bookmarkEnd w:id="63"/>
    <w:p w14:paraId="73189E76" w14:textId="116865BE" w:rsidR="0077659A" w:rsidRDefault="0077659A" w:rsidP="0077659A">
      <w:pPr>
        <w:pStyle w:val="ICRPnumberedparagraph"/>
        <w:numPr>
          <w:ilvl w:val="0"/>
          <w:numId w:val="13"/>
        </w:numPr>
        <w:tabs>
          <w:tab w:val="num" w:pos="630"/>
        </w:tabs>
        <w:ind w:left="0"/>
      </w:pPr>
      <w:r w:rsidRPr="0056791A">
        <w:t>Successful remediation of areas contaminated by past activities requires a well-developed remediation framework to establish and implement an adequate protecti</w:t>
      </w:r>
      <w:r w:rsidR="00493490">
        <w:t>on</w:t>
      </w:r>
      <w:r w:rsidRPr="0056791A">
        <w:t xml:space="preserve"> strategy. </w:t>
      </w:r>
      <w:r w:rsidRPr="00A26803">
        <w:t xml:space="preserve">The remediation process should be based on a step-by-step </w:t>
      </w:r>
      <w:r w:rsidR="00B646B7">
        <w:t xml:space="preserve">or phased </w:t>
      </w:r>
      <w:r w:rsidRPr="00A26803">
        <w:t xml:space="preserve">approach, applying the fundamental principles of protection: justification of </w:t>
      </w:r>
      <w:r w:rsidR="00B74A54">
        <w:t xml:space="preserve">the </w:t>
      </w:r>
      <w:r w:rsidR="00892FDC">
        <w:t>decision</w:t>
      </w:r>
      <w:r w:rsidR="00493490">
        <w:t xml:space="preserve"> </w:t>
      </w:r>
      <w:r w:rsidR="004926B1">
        <w:t xml:space="preserve">to </w:t>
      </w:r>
      <w:r w:rsidR="0002277B">
        <w:t>implement</w:t>
      </w:r>
      <w:r w:rsidR="004926B1">
        <w:t xml:space="preserve"> a</w:t>
      </w:r>
      <w:r w:rsidR="00493490">
        <w:t xml:space="preserve"> protection strategy</w:t>
      </w:r>
      <w:r w:rsidR="00892FDC">
        <w:t xml:space="preserve"> (</w:t>
      </w:r>
      <w:r w:rsidR="004926B1">
        <w:t xml:space="preserve">which includes the analysis of </w:t>
      </w:r>
      <w:r w:rsidR="00493490">
        <w:t>no action</w:t>
      </w:r>
      <w:r w:rsidR="00892FDC">
        <w:t>)</w:t>
      </w:r>
      <w:r w:rsidRPr="00A26803">
        <w:t xml:space="preserve"> and optimisation of protection. </w:t>
      </w:r>
      <w:r w:rsidRPr="0056791A">
        <w:t xml:space="preserve">While each situation may present unique </w:t>
      </w:r>
      <w:r>
        <w:t>conditions</w:t>
      </w:r>
      <w:r w:rsidRPr="0056791A">
        <w:t xml:space="preserve">, the Commission considers that the remediation framework </w:t>
      </w:r>
      <w:r w:rsidR="002F3BFA">
        <w:t>shown</w:t>
      </w:r>
      <w:r w:rsidRPr="0056791A">
        <w:t xml:space="preserve"> in Fig</w:t>
      </w:r>
      <w:r w:rsidR="00DF05F4">
        <w:t>.</w:t>
      </w:r>
      <w:r w:rsidRPr="0056791A">
        <w:t xml:space="preserve"> 1 may be suitable for most situations. The </w:t>
      </w:r>
      <w:r w:rsidR="00B90E23">
        <w:t>process</w:t>
      </w:r>
      <w:r w:rsidR="00B90E23" w:rsidRPr="0056791A">
        <w:t xml:space="preserve"> </w:t>
      </w:r>
      <w:r w:rsidRPr="0056791A">
        <w:t xml:space="preserve">consists broadly of 5 main steps: recognition of the exposure situation; characterisation of the situation; planning of remediation; implementation of the remediation action plan; </w:t>
      </w:r>
      <w:proofErr w:type="gramStart"/>
      <w:r w:rsidRPr="0056791A">
        <w:t>and,</w:t>
      </w:r>
      <w:proofErr w:type="gramEnd"/>
      <w:r w:rsidRPr="0056791A">
        <w:t xml:space="preserve"> post remediation management (as required). This approach is consistent with publications from the IAEA (IAEA, 202</w:t>
      </w:r>
      <w:r>
        <w:t>2; Yankovich et al., 2022</w:t>
      </w:r>
      <w:r w:rsidRPr="0056791A">
        <w:t>) and the NEA (NEA, 2019).</w:t>
      </w:r>
    </w:p>
    <w:p w14:paraId="02DC1756" w14:textId="385C590C" w:rsidR="005E7C4C" w:rsidRDefault="000E6057" w:rsidP="002F15EC">
      <w:pPr>
        <w:pStyle w:val="ICRPnumberedparagraph"/>
        <w:numPr>
          <w:ilvl w:val="0"/>
          <w:numId w:val="13"/>
        </w:numPr>
        <w:ind w:left="0" w:firstLine="284"/>
      </w:pPr>
      <w:r w:rsidRPr="00A26803">
        <w:t>An effective process is more likely to be successfully implemented when supported by a close dialogue between all the affected stakeholders from the start of the process (NEA, 2019).</w:t>
      </w:r>
      <w:r w:rsidRPr="0056791A">
        <w:t xml:space="preserve"> </w:t>
      </w:r>
      <w:r w:rsidR="0037528B" w:rsidRPr="0037528B">
        <w:t xml:space="preserve">As noted in the Society for Ecological Restoration Australasia (SERA) report </w:t>
      </w:r>
      <w:r w:rsidR="00DF05F4">
        <w:t>‘</w:t>
      </w:r>
      <w:r w:rsidR="0037528B" w:rsidRPr="00667C97">
        <w:t>National standards for the practice of ecological restoration in Australia</w:t>
      </w:r>
      <w:r w:rsidR="00DF05F4">
        <w:t>’</w:t>
      </w:r>
      <w:r w:rsidR="0037528B" w:rsidRPr="0037528B">
        <w:t xml:space="preserve">, </w:t>
      </w:r>
      <w:r w:rsidR="00517E10" w:rsidRPr="00667C97">
        <w:rPr>
          <w:i/>
          <w:iCs/>
        </w:rPr>
        <w:t xml:space="preserve">The practical implications for restoration are that restoration planners and project managers need to genuinely and actively engage with those who live or work within or near a site to be restored, as well as with others who have a stake in the area’s goods, </w:t>
      </w:r>
      <w:proofErr w:type="gramStart"/>
      <w:r w:rsidR="00517E10" w:rsidRPr="00667C97">
        <w:rPr>
          <w:i/>
          <w:iCs/>
        </w:rPr>
        <w:t>services</w:t>
      </w:r>
      <w:proofErr w:type="gramEnd"/>
      <w:r w:rsidR="00517E10" w:rsidRPr="00667C97">
        <w:rPr>
          <w:i/>
          <w:iCs/>
        </w:rPr>
        <w:t xml:space="preserve"> or values. This needs to occur at the outset of and throughout a restoration project. Not only will a restoration project be more secure if genuine dialogue occurs between managers and stakeholders, but also this dialogue, coupled with education about the ecosystem, can increase the level of practical collaboration, facilitating solutions best suited to local ecosystems and cultures</w:t>
      </w:r>
      <w:r w:rsidR="00517E10">
        <w:t xml:space="preserve"> </w:t>
      </w:r>
      <w:r w:rsidR="00343EA1">
        <w:t>(</w:t>
      </w:r>
      <w:r w:rsidR="00517E10">
        <w:t>SERA,</w:t>
      </w:r>
      <w:r w:rsidR="00DE4A29">
        <w:t xml:space="preserve"> </w:t>
      </w:r>
      <w:r w:rsidR="000275AF">
        <w:t>2017</w:t>
      </w:r>
      <w:r w:rsidR="00343EA1">
        <w:t>)</w:t>
      </w:r>
      <w:r w:rsidR="00DF05F4">
        <w:t>.</w:t>
      </w:r>
      <w:r w:rsidR="00F43A1B">
        <w:t xml:space="preserve"> Moreover, incorporat</w:t>
      </w:r>
      <w:r w:rsidR="006D1324">
        <w:t>ing</w:t>
      </w:r>
      <w:r w:rsidR="00F43A1B">
        <w:t xml:space="preserve"> stakeholders</w:t>
      </w:r>
      <w:r w:rsidR="0037528B">
        <w:t>’</w:t>
      </w:r>
      <w:r w:rsidR="00F43A1B" w:rsidRPr="00F43A1B">
        <w:t xml:space="preserve"> input</w:t>
      </w:r>
      <w:r w:rsidR="00F43A1B">
        <w:t>s</w:t>
      </w:r>
      <w:r w:rsidR="00F43A1B" w:rsidRPr="00F43A1B">
        <w:t xml:space="preserve"> throughout the process </w:t>
      </w:r>
      <w:r w:rsidR="00F43A1B">
        <w:t xml:space="preserve">is </w:t>
      </w:r>
      <w:r w:rsidR="006D1324">
        <w:t>essential</w:t>
      </w:r>
      <w:r w:rsidR="00F43A1B">
        <w:t xml:space="preserve"> </w:t>
      </w:r>
      <w:r w:rsidR="00F43A1B" w:rsidRPr="00F43A1B">
        <w:t>to build</w:t>
      </w:r>
      <w:r w:rsidR="000643C4">
        <w:t>ing</w:t>
      </w:r>
      <w:r w:rsidR="00F43A1B" w:rsidRPr="00F43A1B">
        <w:t xml:space="preserve"> confidence in the </w:t>
      </w:r>
      <w:r w:rsidR="00F43A1B">
        <w:t xml:space="preserve">overall </w:t>
      </w:r>
      <w:r w:rsidR="00F43A1B" w:rsidRPr="00F43A1B">
        <w:t>process</w:t>
      </w:r>
      <w:r w:rsidR="005739BC">
        <w:t xml:space="preserve">, </w:t>
      </w:r>
      <w:r w:rsidR="0037528B">
        <w:t>including</w:t>
      </w:r>
      <w:r w:rsidR="005739BC">
        <w:t xml:space="preserve"> </w:t>
      </w:r>
      <w:r w:rsidR="005739BC" w:rsidRPr="005739BC">
        <w:t>determining</w:t>
      </w:r>
      <w:r w:rsidR="00571A92">
        <w:t xml:space="preserve"> </w:t>
      </w:r>
      <w:r w:rsidR="007E2862" w:rsidRPr="007E2862">
        <w:t xml:space="preserve">the final status of a site </w:t>
      </w:r>
      <w:r w:rsidR="007E2862">
        <w:t>(</w:t>
      </w:r>
      <w:r w:rsidR="005A675F">
        <w:t xml:space="preserve">site end </w:t>
      </w:r>
      <w:r w:rsidR="005739BC" w:rsidRPr="005739BC">
        <w:t>state</w:t>
      </w:r>
      <w:r w:rsidR="007E2862">
        <w:t>)</w:t>
      </w:r>
      <w:r w:rsidR="005739BC" w:rsidRPr="005739BC">
        <w:t>, associated decisions and management of uncertainties</w:t>
      </w:r>
      <w:r w:rsidR="00517E10">
        <w:t>.</w:t>
      </w:r>
      <w:r w:rsidR="005739BC">
        <w:t xml:space="preserve"> </w:t>
      </w:r>
    </w:p>
    <w:p w14:paraId="67D87198" w14:textId="75B8ECC5" w:rsidR="005E7C4C" w:rsidRDefault="005E7C4C" w:rsidP="002F15EC">
      <w:pPr>
        <w:pStyle w:val="ICRPnumberedparagraph"/>
        <w:numPr>
          <w:ilvl w:val="0"/>
          <w:numId w:val="13"/>
        </w:numPr>
        <w:ind w:left="0" w:firstLine="284"/>
      </w:pPr>
      <w:r>
        <w:t xml:space="preserve">At all stages in the remediation process, communication with </w:t>
      </w:r>
      <w:r w:rsidR="00493490">
        <w:t>local stakeholders</w:t>
      </w:r>
      <w:r>
        <w:t xml:space="preserve"> should occur</w:t>
      </w:r>
      <w:r w:rsidR="00DD09AC">
        <w:t>,</w:t>
      </w:r>
      <w:r>
        <w:t xml:space="preserve"> outlining the</w:t>
      </w:r>
      <w:r w:rsidR="00B50CE8">
        <w:t xml:space="preserve"> risks and </w:t>
      </w:r>
      <w:r>
        <w:t>hazards present, the basis of any decision made, progress of remedial action and implications on health. It is important that any communication with the public is two</w:t>
      </w:r>
      <w:r w:rsidR="00BC06F3">
        <w:t>-</w:t>
      </w:r>
      <w:r>
        <w:t xml:space="preserve"> </w:t>
      </w:r>
      <w:r w:rsidR="003E04C8">
        <w:t>way</w:t>
      </w:r>
      <w:r>
        <w:t xml:space="preserve"> and at </w:t>
      </w:r>
      <w:r w:rsidR="00BC06F3">
        <w:t xml:space="preserve">the </w:t>
      </w:r>
      <w:r>
        <w:t>appropriate level with respect to technical content.</w:t>
      </w:r>
    </w:p>
    <w:p w14:paraId="35561685" w14:textId="77777777" w:rsidR="00493490" w:rsidRDefault="000E6057" w:rsidP="002F15EC">
      <w:pPr>
        <w:pStyle w:val="ICRPnumberedparagraph"/>
        <w:numPr>
          <w:ilvl w:val="0"/>
          <w:numId w:val="13"/>
        </w:numPr>
        <w:ind w:left="0" w:firstLine="284"/>
      </w:pPr>
      <w:r w:rsidRPr="00A26803">
        <w:t xml:space="preserve">Deciding on and implementing a </w:t>
      </w:r>
      <w:r w:rsidR="00D4367A">
        <w:t>selected</w:t>
      </w:r>
      <w:r w:rsidRPr="00A26803">
        <w:t xml:space="preserve"> protection strategy requires commitment at all levels in all concerned organisations</w:t>
      </w:r>
      <w:r w:rsidR="008329EB">
        <w:t>,</w:t>
      </w:r>
      <w:r w:rsidRPr="00A26803">
        <w:t xml:space="preserve"> as well as </w:t>
      </w:r>
      <w:r w:rsidR="008329EB">
        <w:t xml:space="preserve">having </w:t>
      </w:r>
      <w:r w:rsidRPr="00A26803">
        <w:t xml:space="preserve">adequate </w:t>
      </w:r>
      <w:r>
        <w:t xml:space="preserve">processes, </w:t>
      </w:r>
      <w:proofErr w:type="gramStart"/>
      <w:r w:rsidRPr="00A26803">
        <w:t>procedures</w:t>
      </w:r>
      <w:proofErr w:type="gramEnd"/>
      <w:r w:rsidRPr="00A26803">
        <w:t xml:space="preserve"> and resources </w:t>
      </w:r>
      <w:r w:rsidR="008329EB">
        <w:t xml:space="preserve">in place </w:t>
      </w:r>
      <w:r w:rsidRPr="00A26803">
        <w:t xml:space="preserve">(ICRP, 2007). A well-defined understanding of the responsibility of each party in the overall process is needed. </w:t>
      </w:r>
    </w:p>
    <w:p w14:paraId="12840C9B" w14:textId="575D6770" w:rsidR="000E6057" w:rsidRPr="0056791A" w:rsidRDefault="000E6057" w:rsidP="002F15EC">
      <w:pPr>
        <w:pStyle w:val="ICRPnumberedparagraph"/>
        <w:numPr>
          <w:ilvl w:val="0"/>
          <w:numId w:val="13"/>
        </w:numPr>
        <w:ind w:left="0" w:firstLine="284"/>
      </w:pPr>
      <w:r w:rsidRPr="00A26803">
        <w:lastRenderedPageBreak/>
        <w:t>In some cases, potential impacts of the remediation strategy on neighbouring countries may have to be considered. Representative organisations of these countries should then be involved and informed as required.</w:t>
      </w:r>
      <w:r w:rsidR="005474F8" w:rsidRPr="005474F8">
        <w:t xml:space="preserve"> Neighbouring countries should coordinate their remediation efforts where there are transboundary impacts.</w:t>
      </w:r>
    </w:p>
    <w:p w14:paraId="6EE453F9" w14:textId="77777777" w:rsidR="00A26803" w:rsidRPr="00A26803" w:rsidRDefault="00A26803" w:rsidP="00A26803">
      <w:pPr>
        <w:tabs>
          <w:tab w:val="left" w:pos="851"/>
        </w:tabs>
        <w:ind w:left="-142"/>
        <w:jc w:val="both"/>
        <w:rPr>
          <w:color w:val="000000" w:themeColor="text1"/>
          <w:lang w:eastAsia="ja-JP"/>
        </w:rPr>
      </w:pPr>
    </w:p>
    <w:p w14:paraId="4876641A" w14:textId="77777777" w:rsidR="00A26803" w:rsidRDefault="00A26803" w:rsidP="0011734B">
      <w:pPr>
        <w:tabs>
          <w:tab w:val="left" w:pos="851"/>
        </w:tabs>
        <w:ind w:left="-142"/>
        <w:jc w:val="center"/>
        <w:rPr>
          <w:color w:val="000000" w:themeColor="text1"/>
          <w:lang w:eastAsia="ja-JP"/>
        </w:rPr>
      </w:pPr>
      <w:r w:rsidRPr="00A26803">
        <w:rPr>
          <w:rFonts w:eastAsia="ＭＳ 明朝"/>
          <w:noProof/>
          <w:color w:val="000000" w:themeColor="text1"/>
          <w:szCs w:val="22"/>
          <w:lang w:val="es-AR" w:eastAsia="es-AR"/>
        </w:rPr>
        <w:drawing>
          <wp:inline distT="0" distB="0" distL="0" distR="0" wp14:anchorId="5CC40115" wp14:editId="1E44955B">
            <wp:extent cx="4985385" cy="4629150"/>
            <wp:effectExtent l="0" t="0" r="5715" b="0"/>
            <wp:docPr id="3" name="Imagen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Diagram&#10;&#10;Description automatically generated"/>
                    <pic:cNvPicPr/>
                  </pic:nvPicPr>
                  <pic:blipFill rotWithShape="1">
                    <a:blip r:embed="rId24">
                      <a:extLst>
                        <a:ext uri="{28A0092B-C50C-407E-A947-70E740481C1C}">
                          <a14:useLocalDpi xmlns:a14="http://schemas.microsoft.com/office/drawing/2010/main" val="0"/>
                        </a:ext>
                      </a:extLst>
                    </a:blip>
                    <a:srcRect t="7738" b="40034"/>
                    <a:stretch/>
                  </pic:blipFill>
                  <pic:spPr bwMode="auto">
                    <a:xfrm>
                      <a:off x="0" y="0"/>
                      <a:ext cx="4985385" cy="4629150"/>
                    </a:xfrm>
                    <a:prstGeom prst="rect">
                      <a:avLst/>
                    </a:prstGeom>
                    <a:ln>
                      <a:noFill/>
                    </a:ln>
                    <a:extLst>
                      <a:ext uri="{53640926-AAD7-44D8-BBD7-CCE9431645EC}">
                        <a14:shadowObscured xmlns:a14="http://schemas.microsoft.com/office/drawing/2010/main"/>
                      </a:ext>
                    </a:extLst>
                  </pic:spPr>
                </pic:pic>
              </a:graphicData>
            </a:graphic>
          </wp:inline>
        </w:drawing>
      </w:r>
    </w:p>
    <w:p w14:paraId="0EE28E96" w14:textId="0F030844" w:rsidR="00655743" w:rsidRPr="00667C97" w:rsidRDefault="00655743" w:rsidP="00667C97">
      <w:pPr>
        <w:tabs>
          <w:tab w:val="left" w:pos="851"/>
        </w:tabs>
        <w:ind w:left="-142"/>
        <w:rPr>
          <w:color w:val="000000" w:themeColor="text1"/>
          <w:sz w:val="22"/>
          <w:szCs w:val="22"/>
          <w:lang w:eastAsia="ja-JP"/>
        </w:rPr>
      </w:pPr>
      <w:r w:rsidRPr="00667C97">
        <w:rPr>
          <w:color w:val="000000" w:themeColor="text1"/>
          <w:sz w:val="22"/>
          <w:szCs w:val="22"/>
          <w:lang w:eastAsia="ja-JP"/>
        </w:rPr>
        <w:t xml:space="preserve">Fig.1. </w:t>
      </w:r>
      <w:r w:rsidR="009173B4">
        <w:rPr>
          <w:color w:val="000000" w:themeColor="text1"/>
          <w:sz w:val="22"/>
          <w:szCs w:val="22"/>
          <w:lang w:eastAsia="ja-JP"/>
        </w:rPr>
        <w:t>Scheme for the phases involved in a remediation process.</w:t>
      </w:r>
    </w:p>
    <w:p w14:paraId="00EB21F9" w14:textId="77777777" w:rsidR="00A26803" w:rsidRPr="00B937C3" w:rsidRDefault="00A26803" w:rsidP="003B6E87">
      <w:pPr>
        <w:pStyle w:val="AnnalshdgB"/>
        <w:numPr>
          <w:ilvl w:val="1"/>
          <w:numId w:val="42"/>
        </w:numPr>
        <w:jc w:val="left"/>
        <w:rPr>
          <w:i w:val="0"/>
        </w:rPr>
      </w:pPr>
      <w:bookmarkStart w:id="64" w:name="_Toc117873836"/>
      <w:bookmarkStart w:id="65" w:name="_Toc159397475"/>
      <w:bookmarkStart w:id="66" w:name="_Toc166586813"/>
      <w:r w:rsidRPr="00B937C3">
        <w:rPr>
          <w:i w:val="0"/>
        </w:rPr>
        <w:t>Recognition of the exposure situation</w:t>
      </w:r>
      <w:bookmarkEnd w:id="64"/>
      <w:bookmarkEnd w:id="65"/>
      <w:bookmarkEnd w:id="66"/>
    </w:p>
    <w:p w14:paraId="57830FD8" w14:textId="2B76ABEE" w:rsidR="0077659A" w:rsidRDefault="0077659A" w:rsidP="00667C97">
      <w:pPr>
        <w:pStyle w:val="ICRPnumberedparagraph"/>
        <w:numPr>
          <w:ilvl w:val="0"/>
          <w:numId w:val="13"/>
        </w:numPr>
        <w:ind w:left="0" w:firstLine="284"/>
      </w:pPr>
      <w:r w:rsidRPr="0056791A">
        <w:t>The first step in addressing exposures from a contaminated area due to past activities is recogni</w:t>
      </w:r>
      <w:r w:rsidR="000A69D7">
        <w:t>sing</w:t>
      </w:r>
      <w:r w:rsidRPr="0056791A">
        <w:t xml:space="preserve"> the exposure </w:t>
      </w:r>
      <w:r w:rsidR="00ED2B89" w:rsidRPr="0056791A">
        <w:t>situation</w:t>
      </w:r>
      <w:r w:rsidR="00ED2B89">
        <w:t xml:space="preserve"> of</w:t>
      </w:r>
      <w:r>
        <w:t xml:space="preserve"> concern from a radiological point of view</w:t>
      </w:r>
      <w:r w:rsidRPr="0056791A">
        <w:t xml:space="preserve">, based on a </w:t>
      </w:r>
      <w:r w:rsidR="000A69D7">
        <w:t>shared</w:t>
      </w:r>
      <w:r w:rsidRPr="0056791A">
        <w:t xml:space="preserve"> understanding of the </w:t>
      </w:r>
      <w:r w:rsidR="000A69D7">
        <w:t xml:space="preserve">area’s </w:t>
      </w:r>
      <w:r w:rsidRPr="0056791A">
        <w:t xml:space="preserve">main features. Knowledge of the history of the affected </w:t>
      </w:r>
      <w:r>
        <w:t>area</w:t>
      </w:r>
      <w:r w:rsidRPr="0056791A">
        <w:t xml:space="preserve"> is </w:t>
      </w:r>
      <w:r w:rsidR="0041746E">
        <w:t>essential</w:t>
      </w:r>
      <w:r w:rsidRPr="0056791A">
        <w:t xml:space="preserve"> and can be supported by interaction with local stakeholders. Indeed, attention </w:t>
      </w:r>
      <w:r w:rsidR="00015753">
        <w:t>should</w:t>
      </w:r>
      <w:r w:rsidR="00015753" w:rsidRPr="0056791A">
        <w:t xml:space="preserve"> </w:t>
      </w:r>
      <w:r w:rsidRPr="0056791A">
        <w:t>be paid from the very beginning to identif</w:t>
      </w:r>
      <w:r w:rsidR="00623262">
        <w:t xml:space="preserve">ying </w:t>
      </w:r>
      <w:r w:rsidRPr="0056791A">
        <w:t>stakeholders</w:t>
      </w:r>
      <w:r>
        <w:t xml:space="preserve"> </w:t>
      </w:r>
      <w:r w:rsidRPr="0056791A">
        <w:t>who should be involved in the development and implementation of the protection strategy</w:t>
      </w:r>
      <w:r w:rsidR="00AF5548">
        <w:t xml:space="preserve">. </w:t>
      </w:r>
      <w:r w:rsidR="00A56503">
        <w:t>It is important to s</w:t>
      </w:r>
      <w:r w:rsidR="00AF5548" w:rsidRPr="00AF5548">
        <w:t xml:space="preserve">tart communication and </w:t>
      </w:r>
      <w:r w:rsidR="00AF5548">
        <w:t>engagement early in the process by p</w:t>
      </w:r>
      <w:r w:rsidR="00AF5548" w:rsidRPr="00AF5548">
        <w:t>ro</w:t>
      </w:r>
      <w:r w:rsidR="00AF5548">
        <w:t>viding timely information and making</w:t>
      </w:r>
      <w:r w:rsidR="00AF5548" w:rsidRPr="00AF5548">
        <w:t xml:space="preserve"> information available, as requested, so </w:t>
      </w:r>
      <w:r w:rsidR="00A56503">
        <w:t>stakeholders</w:t>
      </w:r>
      <w:r w:rsidR="00AF5548" w:rsidRPr="00AF5548">
        <w:t xml:space="preserve"> can</w:t>
      </w:r>
      <w:r w:rsidR="00745734">
        <w:t xml:space="preserve"> fully </w:t>
      </w:r>
      <w:r w:rsidR="00AF5548" w:rsidRPr="00AF5548">
        <w:t>partici</w:t>
      </w:r>
      <w:r w:rsidR="00AF5548">
        <w:t>pate</w:t>
      </w:r>
      <w:r w:rsidR="007D37CE">
        <w:t xml:space="preserve">. </w:t>
      </w:r>
      <w:r w:rsidR="00A56503">
        <w:t>C</w:t>
      </w:r>
      <w:r w:rsidR="007D37CE" w:rsidRPr="007D37CE">
        <w:t xml:space="preserve">ommunication of project information </w:t>
      </w:r>
      <w:r w:rsidR="007D37CE">
        <w:t xml:space="preserve">should be done </w:t>
      </w:r>
      <w:r w:rsidR="007D37CE" w:rsidRPr="007D37CE">
        <w:t xml:space="preserve">in a form that is </w:t>
      </w:r>
      <w:r w:rsidR="00A56503">
        <w:t xml:space="preserve">transparent and </w:t>
      </w:r>
      <w:r w:rsidR="007D37CE" w:rsidRPr="007D37CE">
        <w:t>easily understood</w:t>
      </w:r>
      <w:r w:rsidR="00A07584">
        <w:t xml:space="preserve"> </w:t>
      </w:r>
      <w:r w:rsidR="00A56503">
        <w:t>by</w:t>
      </w:r>
      <w:r w:rsidR="00A07584">
        <w:t xml:space="preserve"> the public</w:t>
      </w:r>
      <w:r w:rsidR="001B353A">
        <w:t>.</w:t>
      </w:r>
      <w:r w:rsidR="00DD3514" w:rsidRPr="00DD3514">
        <w:t xml:space="preserve"> </w:t>
      </w:r>
      <w:r w:rsidR="0012639E">
        <w:t>In this early dialogue, i</w:t>
      </w:r>
      <w:r w:rsidR="00DD3514">
        <w:t xml:space="preserve">t is important to start to </w:t>
      </w:r>
      <w:r w:rsidR="00DD3514" w:rsidRPr="00DD3514">
        <w:t xml:space="preserve">understand the values of </w:t>
      </w:r>
      <w:r w:rsidR="00DD3514">
        <w:t>local stakeholders</w:t>
      </w:r>
      <w:r w:rsidR="00DD3514" w:rsidRPr="00DD3514">
        <w:t>, i.e. what is important to them</w:t>
      </w:r>
      <w:r w:rsidR="00DD3514">
        <w:t>.</w:t>
      </w:r>
    </w:p>
    <w:p w14:paraId="5A03A8C3" w14:textId="1D7D38CD" w:rsidR="0077659A" w:rsidRPr="0056791A" w:rsidRDefault="00012671" w:rsidP="0077659A">
      <w:pPr>
        <w:pStyle w:val="ICRPnumberedparagraph"/>
        <w:numPr>
          <w:ilvl w:val="0"/>
          <w:numId w:val="13"/>
        </w:numPr>
        <w:tabs>
          <w:tab w:val="num" w:pos="634"/>
        </w:tabs>
        <w:ind w:left="0"/>
      </w:pPr>
      <w:r>
        <w:t>Several</w:t>
      </w:r>
      <w:r w:rsidR="0077659A">
        <w:t xml:space="preserve"> challenges </w:t>
      </w:r>
      <w:r w:rsidR="0077659A" w:rsidRPr="006012B6">
        <w:t>may be faced at this early stage, such as identifying ownership of the contaminated area, both in terms of physical</w:t>
      </w:r>
      <w:r w:rsidR="00530D5E">
        <w:t xml:space="preserve">, </w:t>
      </w:r>
      <w:proofErr w:type="gramStart"/>
      <w:r w:rsidR="00530D5E">
        <w:t>legal</w:t>
      </w:r>
      <w:proofErr w:type="gramEnd"/>
      <w:r w:rsidR="0077659A" w:rsidRPr="006012B6">
        <w:t xml:space="preserve"> and financial ownership. In some cases, </w:t>
      </w:r>
      <w:r w:rsidR="0077659A" w:rsidRPr="006012B6">
        <w:lastRenderedPageBreak/>
        <w:t xml:space="preserve">such as contaminated residential neighbourhoods, many owners </w:t>
      </w:r>
      <w:r w:rsidR="007A40E3">
        <w:t xml:space="preserve">may be </w:t>
      </w:r>
      <w:r w:rsidR="0077659A" w:rsidRPr="006012B6">
        <w:t>involved</w:t>
      </w:r>
      <w:r w:rsidR="0077659A">
        <w:t xml:space="preserve"> (some of wh</w:t>
      </w:r>
      <w:r w:rsidR="002606A5">
        <w:t>om</w:t>
      </w:r>
      <w:r w:rsidR="0077659A">
        <w:t xml:space="preserve"> might own the property, but not necessarily the liability/legacy)</w:t>
      </w:r>
      <w:r w:rsidR="0077659A" w:rsidRPr="006012B6">
        <w:t xml:space="preserve">. Also, addressing sites with multiple hazards will often involve different regulatory </w:t>
      </w:r>
      <w:r w:rsidR="0077659A">
        <w:t>authorities</w:t>
      </w:r>
      <w:r w:rsidR="0077659A" w:rsidRPr="006012B6">
        <w:t>. It is important in such case</w:t>
      </w:r>
      <w:r w:rsidR="0077659A">
        <w:t>s</w:t>
      </w:r>
      <w:r w:rsidR="0077659A" w:rsidRPr="006012B6">
        <w:t xml:space="preserve"> that </w:t>
      </w:r>
      <w:r w:rsidR="00DF3CB2">
        <w:t xml:space="preserve">the relevant </w:t>
      </w:r>
      <w:r w:rsidR="0077659A" w:rsidRPr="006012B6">
        <w:t xml:space="preserve">regulatory </w:t>
      </w:r>
      <w:r w:rsidR="0077659A">
        <w:t>authorities</w:t>
      </w:r>
      <w:r w:rsidR="0077659A" w:rsidRPr="006012B6">
        <w:t xml:space="preserve"> share a common understanding of the</w:t>
      </w:r>
      <w:r w:rsidR="0077659A">
        <w:t xml:space="preserve"> situation and</w:t>
      </w:r>
      <w:r w:rsidR="00DF3CB2">
        <w:t>,</w:t>
      </w:r>
      <w:r w:rsidR="0077659A">
        <w:t xml:space="preserve"> to the extent possible, take regulatory decisions in a pragmatic, harmon</w:t>
      </w:r>
      <w:r w:rsidR="002D67F8">
        <w:t>is</w:t>
      </w:r>
      <w:r w:rsidR="0077659A">
        <w:t>ed manner.</w:t>
      </w:r>
    </w:p>
    <w:p w14:paraId="596E173B" w14:textId="77777777" w:rsidR="006A0FF7" w:rsidRPr="00B937C3" w:rsidRDefault="006A0FF7" w:rsidP="003B6E87">
      <w:pPr>
        <w:pStyle w:val="AnnalshdgB"/>
        <w:numPr>
          <w:ilvl w:val="1"/>
          <w:numId w:val="42"/>
        </w:numPr>
        <w:jc w:val="left"/>
        <w:rPr>
          <w:i w:val="0"/>
        </w:rPr>
      </w:pPr>
      <w:bookmarkStart w:id="67" w:name="_Toc117873837"/>
      <w:bookmarkStart w:id="68" w:name="_Toc159397476"/>
      <w:bookmarkStart w:id="69" w:name="_Toc166586814"/>
      <w:r w:rsidRPr="00B937C3">
        <w:rPr>
          <w:i w:val="0"/>
        </w:rPr>
        <w:t>Characterisation of the exposure situation</w:t>
      </w:r>
      <w:bookmarkEnd w:id="67"/>
      <w:bookmarkEnd w:id="68"/>
      <w:bookmarkEnd w:id="69"/>
    </w:p>
    <w:p w14:paraId="6F7E1CD4" w14:textId="0E0A557F" w:rsidR="0077659A" w:rsidRPr="00256BA5" w:rsidRDefault="0077659A" w:rsidP="0077659A">
      <w:pPr>
        <w:pStyle w:val="ICRPnumberedparagraph"/>
        <w:numPr>
          <w:ilvl w:val="0"/>
          <w:numId w:val="13"/>
        </w:numPr>
        <w:tabs>
          <w:tab w:val="num" w:pos="630"/>
        </w:tabs>
        <w:ind w:left="0"/>
      </w:pPr>
      <w:r w:rsidRPr="00256BA5">
        <w:t xml:space="preserve">Once the </w:t>
      </w:r>
      <w:r>
        <w:t>situation</w:t>
      </w:r>
      <w:r w:rsidRPr="00256BA5">
        <w:t xml:space="preserve"> is recognised, the next step consists </w:t>
      </w:r>
      <w:r>
        <w:t>of</w:t>
      </w:r>
      <w:r w:rsidRPr="00256BA5">
        <w:t xml:space="preserve"> performing a detailed character</w:t>
      </w:r>
      <w:r w:rsidR="002D67F8">
        <w:t>is</w:t>
      </w:r>
      <w:r w:rsidRPr="00256BA5">
        <w:t xml:space="preserve">ation of the situation and gathering all required information </w:t>
      </w:r>
      <w:r w:rsidR="007F34A8" w:rsidRPr="00256BA5">
        <w:t>to</w:t>
      </w:r>
      <w:r w:rsidRPr="00256BA5">
        <w:t xml:space="preserve"> identify exposure pathways </w:t>
      </w:r>
      <w:r w:rsidR="00D4367A">
        <w:t>and affected people</w:t>
      </w:r>
      <w:r w:rsidR="0036794C">
        <w:t xml:space="preserve"> </w:t>
      </w:r>
      <w:r w:rsidRPr="00256BA5">
        <w:t xml:space="preserve">and assess </w:t>
      </w:r>
      <w:r w:rsidR="00D4367A">
        <w:t xml:space="preserve">their </w:t>
      </w:r>
      <w:r w:rsidRPr="00256BA5">
        <w:t xml:space="preserve">actual and potential doses. </w:t>
      </w:r>
      <w:r w:rsidRPr="00961FCF">
        <w:t>The aim</w:t>
      </w:r>
      <w:r>
        <w:t xml:space="preserve"> of the characterisation of the situation</w:t>
      </w:r>
      <w:r w:rsidRPr="00961FCF">
        <w:t xml:space="preserve"> is to determine the extent to which the contaminat</w:t>
      </w:r>
      <w:r>
        <w:t>ed area</w:t>
      </w:r>
      <w:r w:rsidRPr="00961FCF">
        <w:t xml:space="preserve"> poses a risk to human health </w:t>
      </w:r>
      <w:r>
        <w:t xml:space="preserve">and </w:t>
      </w:r>
      <w:r w:rsidRPr="00961FCF">
        <w:t xml:space="preserve">the environment. </w:t>
      </w:r>
      <w:r w:rsidRPr="00256BA5">
        <w:t xml:space="preserve">Also, the characterisation of the situation is a key input to </w:t>
      </w:r>
      <w:r w:rsidR="00E263EA">
        <w:t xml:space="preserve">justify </w:t>
      </w:r>
      <w:r w:rsidR="00924836" w:rsidRPr="00256BA5">
        <w:t>whether</w:t>
      </w:r>
      <w:r w:rsidRPr="00256BA5">
        <w:t xml:space="preserve"> the situation requires </w:t>
      </w:r>
      <w:r w:rsidR="009400F5">
        <w:t xml:space="preserve">site remediation </w:t>
      </w:r>
      <w:r w:rsidR="0023732E">
        <w:t xml:space="preserve">and the </w:t>
      </w:r>
      <w:r w:rsidRPr="00256BA5">
        <w:t>development of a protection strategy</w:t>
      </w:r>
      <w:r>
        <w:t>,</w:t>
      </w:r>
      <w:r w:rsidRPr="00256BA5">
        <w:t xml:space="preserve"> and if restrictions on site access </w:t>
      </w:r>
      <w:r>
        <w:t xml:space="preserve">or use </w:t>
      </w:r>
      <w:r w:rsidRPr="00256BA5">
        <w:t>should be implemented</w:t>
      </w:r>
      <w:r>
        <w:t xml:space="preserve"> </w:t>
      </w:r>
      <w:r w:rsidRPr="00256BA5">
        <w:t>temporarily</w:t>
      </w:r>
      <w:r>
        <w:t xml:space="preserve"> or </w:t>
      </w:r>
      <w:r w:rsidR="00B34AEE">
        <w:t xml:space="preserve">possibly </w:t>
      </w:r>
      <w:r>
        <w:t>over the long term</w:t>
      </w:r>
      <w:r w:rsidRPr="00256BA5">
        <w:t xml:space="preserve">. </w:t>
      </w:r>
    </w:p>
    <w:p w14:paraId="5424EE85" w14:textId="74226F9C" w:rsidR="0077659A" w:rsidRPr="00256BA5" w:rsidRDefault="0077659A" w:rsidP="0077659A">
      <w:pPr>
        <w:pStyle w:val="ICRPnumberedparagraph"/>
        <w:numPr>
          <w:ilvl w:val="0"/>
          <w:numId w:val="13"/>
        </w:numPr>
        <w:tabs>
          <w:tab w:val="num" w:pos="630"/>
        </w:tabs>
        <w:ind w:left="0"/>
      </w:pPr>
      <w:r w:rsidRPr="00256BA5">
        <w:t xml:space="preserve">Characterisation of the situation involves an in-depth review of the available documentation </w:t>
      </w:r>
      <w:r w:rsidR="009777C3">
        <w:t>for the reconstruction of the site´s operational history as much as possible</w:t>
      </w:r>
      <w:r>
        <w:t>,</w:t>
      </w:r>
      <w:r w:rsidRPr="00256BA5">
        <w:t xml:space="preserve"> as well as establishing </w:t>
      </w:r>
      <w:r w:rsidR="00C26307">
        <w:t xml:space="preserve">a </w:t>
      </w:r>
      <w:r w:rsidRPr="00256BA5">
        <w:t xml:space="preserve">dialogue with individuals with knowledge of </w:t>
      </w:r>
      <w:r w:rsidR="00D4367A">
        <w:t xml:space="preserve">either </w:t>
      </w:r>
      <w:r w:rsidRPr="00256BA5">
        <w:t xml:space="preserve">the </w:t>
      </w:r>
      <w:r w:rsidR="00EA33B7">
        <w:t xml:space="preserve">site’s </w:t>
      </w:r>
      <w:r w:rsidRPr="00256BA5">
        <w:t xml:space="preserve">history </w:t>
      </w:r>
      <w:r w:rsidR="00D4367A">
        <w:t>or the current situation</w:t>
      </w:r>
      <w:r w:rsidRPr="00256BA5">
        <w:t xml:space="preserve">. </w:t>
      </w:r>
    </w:p>
    <w:p w14:paraId="27DF47C0" w14:textId="0712A8BB" w:rsidR="0077659A" w:rsidRPr="00256BA5" w:rsidRDefault="0077659A" w:rsidP="0077659A">
      <w:pPr>
        <w:pStyle w:val="ICRPnumberedparagraph"/>
        <w:numPr>
          <w:ilvl w:val="0"/>
          <w:numId w:val="13"/>
        </w:numPr>
        <w:tabs>
          <w:tab w:val="num" w:pos="630"/>
        </w:tabs>
        <w:ind w:left="0"/>
      </w:pPr>
      <w:r w:rsidRPr="00256BA5">
        <w:t xml:space="preserve">Characterisation means, but is not restricted to, the distribution of radionuclides and their activity concentrations in the different compartments (air, water, sediment, soil) of the environment in the </w:t>
      </w:r>
      <w:r w:rsidRPr="00515C09">
        <w:t>area</w:t>
      </w:r>
      <w:r>
        <w:t>(s)</w:t>
      </w:r>
      <w:r w:rsidRPr="00256BA5">
        <w:t xml:space="preserve"> of concern</w:t>
      </w:r>
      <w:r>
        <w:t xml:space="preserve"> as well as in baseline</w:t>
      </w:r>
      <w:r w:rsidR="00E263EA">
        <w:t xml:space="preserve"> (background)</w:t>
      </w:r>
      <w:r>
        <w:t xml:space="preserve"> areas</w:t>
      </w:r>
      <w:r w:rsidRPr="00256BA5">
        <w:t xml:space="preserve">, and their physical and chemical forms. It should be done using appropriate sampling and measurement techniques and, when direct or indirect measurement is not possible, the application of appropriate modelling techniques. These aspects are discussed in the context of legacy sites, which commonly include areas contaminated from past activities (NEA, 2021). The data should also include the environmental characteristics of the contaminated area, such as soil type, </w:t>
      </w:r>
      <w:r>
        <w:t xml:space="preserve">hydrogeology, </w:t>
      </w:r>
      <w:r w:rsidRPr="00256BA5">
        <w:t>land use and topography since they influence the effort and methods used for remediation and, therefore, the related costs. Pr</w:t>
      </w:r>
      <w:r w:rsidR="00633491">
        <w:t>edictive</w:t>
      </w:r>
      <w:r w:rsidRPr="00256BA5">
        <w:t xml:space="preserve"> modelling </w:t>
      </w:r>
      <w:r w:rsidR="00B11497">
        <w:t xml:space="preserve">is </w:t>
      </w:r>
      <w:r w:rsidRPr="00256BA5">
        <w:t xml:space="preserve">needed to assess how current conditions may change in </w:t>
      </w:r>
      <w:r w:rsidR="00D61F59">
        <w:t xml:space="preserve">the </w:t>
      </w:r>
      <w:r w:rsidRPr="00256BA5">
        <w:t>future.</w:t>
      </w:r>
    </w:p>
    <w:p w14:paraId="3BD045A6" w14:textId="4CDE10A1" w:rsidR="0077659A" w:rsidRPr="00256BA5" w:rsidRDefault="0077659A" w:rsidP="0077659A">
      <w:pPr>
        <w:pStyle w:val="ICRPnumberedparagraph"/>
        <w:numPr>
          <w:ilvl w:val="0"/>
          <w:numId w:val="13"/>
        </w:numPr>
        <w:tabs>
          <w:tab w:val="num" w:pos="630"/>
        </w:tabs>
        <w:ind w:left="0"/>
      </w:pPr>
      <w:r w:rsidRPr="00961FCF">
        <w:t>It is important to assess not only the sources and extent of radiological c</w:t>
      </w:r>
      <w:r w:rsidRPr="00256BA5">
        <w:t xml:space="preserve">ontamination, but also the characteristics of non-radiological contamination and other hazards, as in </w:t>
      </w:r>
      <w:r>
        <w:t>many</w:t>
      </w:r>
      <w:r w:rsidRPr="00256BA5">
        <w:t xml:space="preserve"> cases, </w:t>
      </w:r>
      <w:r w:rsidRPr="00961FCF">
        <w:t xml:space="preserve">non-radiological considerations might be the driving factor in the remediation process. </w:t>
      </w:r>
      <w:r w:rsidR="00305471" w:rsidRPr="00961FCF">
        <w:t>To</w:t>
      </w:r>
      <w:r w:rsidRPr="00961FCF">
        <w:t xml:space="preserve"> perform the non-radiological hazards assessment</w:t>
      </w:r>
      <w:r>
        <w:t>,</w:t>
      </w:r>
      <w:r w:rsidRPr="00961FCF">
        <w:t xml:space="preserve"> arrangements are necessary between the competent authorities to maintain a consistent approach to the management of all hazards and to clearly assign </w:t>
      </w:r>
      <w:r w:rsidR="000E4BBA">
        <w:t xml:space="preserve">the </w:t>
      </w:r>
      <w:r>
        <w:t>roles</w:t>
      </w:r>
      <w:r w:rsidRPr="00961FCF">
        <w:t xml:space="preserve"> and responsibilities of each </w:t>
      </w:r>
      <w:r>
        <w:t>authority</w:t>
      </w:r>
      <w:r w:rsidRPr="00256BA5">
        <w:t>.</w:t>
      </w:r>
    </w:p>
    <w:p w14:paraId="400CD449" w14:textId="4C61FB4C" w:rsidR="0077659A" w:rsidRPr="00256BA5" w:rsidRDefault="002C6EA5" w:rsidP="0077659A">
      <w:pPr>
        <w:pStyle w:val="ICRPnumberedparagraph"/>
        <w:numPr>
          <w:ilvl w:val="0"/>
          <w:numId w:val="13"/>
        </w:numPr>
        <w:tabs>
          <w:tab w:val="num" w:pos="630"/>
        </w:tabs>
        <w:ind w:left="0"/>
      </w:pPr>
      <w:r w:rsidRPr="002C6EA5">
        <w:t>The assessment of concentration levels of the radionuclides present in an area to be remediated must differentiate between those radionuclides that are the result of the contamination from the past practice under analysis and those radionuclides that are naturally present in the environment to be remediated (such as radium and thorium series) or that did not originate from the past practice under analyses (such as caesium found in the environment from</w:t>
      </w:r>
      <w:r w:rsidR="007C77F0">
        <w:t xml:space="preserve"> nuclear we</w:t>
      </w:r>
      <w:r w:rsidR="001771CC">
        <w:t>a</w:t>
      </w:r>
      <w:r w:rsidR="007C77F0">
        <w:t>pon testing</w:t>
      </w:r>
      <w:r w:rsidRPr="002C6EA5">
        <w:t>). Establishing baseline information on radiation levels is important to analyse the contamination caused by the past practice. In the case of a NORM contaminated area to be remediated, the background activity level could be established by monitoring nearby uncontaminated areas of the same geology with respect to the site to be remediated.</w:t>
      </w:r>
    </w:p>
    <w:p w14:paraId="4738CC56" w14:textId="4D4450B2" w:rsidR="0077659A" w:rsidRPr="00961FCF" w:rsidRDefault="0077659A" w:rsidP="0077659A">
      <w:pPr>
        <w:pStyle w:val="ICRPnumberedparagraph"/>
        <w:numPr>
          <w:ilvl w:val="0"/>
          <w:numId w:val="13"/>
        </w:numPr>
        <w:tabs>
          <w:tab w:val="num" w:pos="630"/>
        </w:tabs>
        <w:ind w:left="0"/>
      </w:pPr>
      <w:r w:rsidRPr="00961FCF">
        <w:t xml:space="preserve">An exposure pathway defines a route of exposure from a source of radionuclides to </w:t>
      </w:r>
      <w:r w:rsidR="00D4367A">
        <w:t>affected individuals</w:t>
      </w:r>
      <w:r w:rsidRPr="00961FCF">
        <w:t xml:space="preserve"> through </w:t>
      </w:r>
      <w:r w:rsidR="0067293C">
        <w:t xml:space="preserve">environmental </w:t>
      </w:r>
      <w:r w:rsidRPr="00961FCF">
        <w:t xml:space="preserve">media </w:t>
      </w:r>
      <w:r>
        <w:t xml:space="preserve">(external exposure from radionuclides </w:t>
      </w:r>
      <w:r>
        <w:lastRenderedPageBreak/>
        <w:t>deposited on the soil, internal exposure from ingestion of foods containing radionuclides, etc.)</w:t>
      </w:r>
      <w:r w:rsidRPr="00961FCF">
        <w:t xml:space="preserve">. Characterising the area will help identify the main exposure pathways to the public and the environment and </w:t>
      </w:r>
      <w:r>
        <w:t>provide necessary input for performing</w:t>
      </w:r>
      <w:r w:rsidRPr="00961FCF">
        <w:t xml:space="preserve"> dose assessments as indicators of the risk arising from exposure.</w:t>
      </w:r>
    </w:p>
    <w:p w14:paraId="6903D495" w14:textId="2401CF6E" w:rsidR="0077659A" w:rsidRPr="00961FCF" w:rsidRDefault="0077659A" w:rsidP="00754334">
      <w:pPr>
        <w:pStyle w:val="ICRPnumberedparagraph"/>
        <w:numPr>
          <w:ilvl w:val="0"/>
          <w:numId w:val="13"/>
        </w:numPr>
        <w:tabs>
          <w:tab w:val="num" w:pos="630"/>
        </w:tabs>
        <w:ind w:left="0"/>
      </w:pPr>
      <w:r w:rsidRPr="00961FCF">
        <w:t xml:space="preserve">The involvement of local communities will help not only to achieve a better assessment of the local situation but </w:t>
      </w:r>
      <w:r w:rsidR="00DF3CB2">
        <w:t xml:space="preserve">also </w:t>
      </w:r>
      <w:r w:rsidRPr="00961FCF">
        <w:t xml:space="preserve">to keep </w:t>
      </w:r>
      <w:r>
        <w:t xml:space="preserve">stakeholders </w:t>
      </w:r>
      <w:r w:rsidRPr="00961FCF">
        <w:t xml:space="preserve">informed. The Commission recommends that authorities should promote </w:t>
      </w:r>
      <w:r w:rsidR="004B56F6">
        <w:t xml:space="preserve">the </w:t>
      </w:r>
      <w:r w:rsidRPr="00961FCF">
        <w:t xml:space="preserve">involvement </w:t>
      </w:r>
      <w:r>
        <w:t>of</w:t>
      </w:r>
      <w:r w:rsidRPr="00961FCF">
        <w:t xml:space="preserve"> local communities</w:t>
      </w:r>
      <w:r w:rsidR="00DF3CB2">
        <w:t xml:space="preserve"> and </w:t>
      </w:r>
      <w:r w:rsidR="00DF3CB2" w:rsidRPr="00961FCF">
        <w:t>cooperate to share experience</w:t>
      </w:r>
      <w:r w:rsidR="00FC1FB4">
        <w:t>s</w:t>
      </w:r>
      <w:r w:rsidR="00DF3CB2" w:rsidRPr="00961FCF">
        <w:t xml:space="preserve"> and information</w:t>
      </w:r>
      <w:r w:rsidR="00DF3CB2">
        <w:t>.</w:t>
      </w:r>
      <w:r w:rsidR="005535AE">
        <w:t xml:space="preserve"> The </w:t>
      </w:r>
      <w:r w:rsidR="00FC1FB4">
        <w:t>participation</w:t>
      </w:r>
      <w:r w:rsidR="005535AE">
        <w:t xml:space="preserve"> of stakeholders </w:t>
      </w:r>
      <w:r w:rsidR="00D61F59">
        <w:t>from</w:t>
      </w:r>
      <w:r w:rsidR="005535AE">
        <w:t xml:space="preserve"> the beginning of the process would also </w:t>
      </w:r>
      <w:r w:rsidR="00C5470F">
        <w:t>contribute</w:t>
      </w:r>
      <w:r w:rsidR="005535AE">
        <w:t xml:space="preserve"> to develop</w:t>
      </w:r>
      <w:r w:rsidR="00D61F59">
        <w:t>ing</w:t>
      </w:r>
      <w:r w:rsidR="005535AE">
        <w:t xml:space="preserve"> a radiological protection </w:t>
      </w:r>
      <w:r w:rsidR="00A944CD">
        <w:t>culture ne</w:t>
      </w:r>
      <w:r w:rsidR="00D61F59">
        <w:t>cessary</w:t>
      </w:r>
      <w:r w:rsidR="00C80277">
        <w:t xml:space="preserve"> </w:t>
      </w:r>
      <w:r w:rsidR="005535AE">
        <w:t xml:space="preserve">for </w:t>
      </w:r>
      <w:r w:rsidR="00A944CD">
        <w:t>understanding the</w:t>
      </w:r>
      <w:r w:rsidR="005535AE">
        <w:t xml:space="preserve"> risks and </w:t>
      </w:r>
      <w:r w:rsidR="00BB70FB">
        <w:t xml:space="preserve">the </w:t>
      </w:r>
      <w:r w:rsidR="005535AE">
        <w:t xml:space="preserve">ethical </w:t>
      </w:r>
      <w:r w:rsidR="00A944CD">
        <w:t xml:space="preserve">values </w:t>
      </w:r>
      <w:r w:rsidR="006C4C03">
        <w:t>on</w:t>
      </w:r>
      <w:r w:rsidR="005535AE">
        <w:t xml:space="preserve"> which decisions are based</w:t>
      </w:r>
      <w:r w:rsidR="00BB70FB">
        <w:t>. Stakeholders</w:t>
      </w:r>
      <w:r w:rsidR="00BB70FB" w:rsidRPr="00BB70FB">
        <w:t xml:space="preserve"> </w:t>
      </w:r>
      <w:r w:rsidR="00BB70FB">
        <w:t xml:space="preserve">may </w:t>
      </w:r>
      <w:r w:rsidR="00BB70FB" w:rsidRPr="00BB70FB">
        <w:t xml:space="preserve">constitute a heterogeneous group </w:t>
      </w:r>
      <w:r w:rsidR="008C5211">
        <w:t xml:space="preserve">with usually little knowledge and a great deal of uncertainty </w:t>
      </w:r>
      <w:r w:rsidR="00D61F59">
        <w:t>about</w:t>
      </w:r>
      <w:r w:rsidR="008C5211">
        <w:t xml:space="preserve"> any issue involving radiation</w:t>
      </w:r>
      <w:r w:rsidR="004E1E86">
        <w:t xml:space="preserve"> as this field of expertise is not </w:t>
      </w:r>
      <w:r w:rsidR="00885FEA">
        <w:t xml:space="preserve">generally </w:t>
      </w:r>
      <w:r w:rsidR="00823CED">
        <w:t>well understood by</w:t>
      </w:r>
      <w:r w:rsidR="004E1E86">
        <w:t xml:space="preserve"> the </w:t>
      </w:r>
      <w:r w:rsidR="000F5AF3">
        <w:t>public</w:t>
      </w:r>
      <w:r w:rsidR="008C5211">
        <w:t xml:space="preserve">. </w:t>
      </w:r>
      <w:r w:rsidR="00BB70FB" w:rsidRPr="00BB70FB">
        <w:t>The aim is to achieve a shared understanding of the situation and its implications</w:t>
      </w:r>
      <w:r w:rsidR="00BB70FB">
        <w:t>.</w:t>
      </w:r>
      <w:r w:rsidR="00A944CD">
        <w:t xml:space="preserve"> E</w:t>
      </w:r>
      <w:r w:rsidR="00A944CD" w:rsidRPr="00A944CD">
        <w:t>conomic, social</w:t>
      </w:r>
      <w:r w:rsidR="00EA5307">
        <w:t>,</w:t>
      </w:r>
      <w:r w:rsidR="00A944CD" w:rsidRPr="00A944CD">
        <w:t xml:space="preserve"> </w:t>
      </w:r>
      <w:r w:rsidR="00BE1191">
        <w:t>environmental</w:t>
      </w:r>
      <w:r w:rsidR="00950DDC">
        <w:t>,</w:t>
      </w:r>
      <w:r w:rsidR="00BE1191">
        <w:t xml:space="preserve"> </w:t>
      </w:r>
      <w:r w:rsidR="00A944CD" w:rsidRPr="00A944CD">
        <w:t>and health impacts of the management options should be transparent and discussed openly</w:t>
      </w:r>
      <w:r w:rsidR="002A5F83">
        <w:t xml:space="preserve"> to maintain public trust and confidence</w:t>
      </w:r>
      <w:r w:rsidR="00BC7B66">
        <w:t xml:space="preserve"> and reinforce the sustainability of the selected protection strategy</w:t>
      </w:r>
      <w:r w:rsidR="007848B4">
        <w:t>.</w:t>
      </w:r>
    </w:p>
    <w:p w14:paraId="52FF540F" w14:textId="7DF045B4" w:rsidR="0077659A" w:rsidRPr="00256BA5" w:rsidRDefault="0077659A" w:rsidP="0077659A">
      <w:pPr>
        <w:pStyle w:val="ICRPnumberedparagraph"/>
        <w:numPr>
          <w:ilvl w:val="0"/>
          <w:numId w:val="13"/>
        </w:numPr>
        <w:tabs>
          <w:tab w:val="num" w:pos="630"/>
        </w:tabs>
        <w:ind w:left="0"/>
      </w:pPr>
      <w:r>
        <w:t>Assessments of radiation dose to m</w:t>
      </w:r>
      <w:r w:rsidRPr="00961FCF">
        <w:t>embers of the public</w:t>
      </w:r>
      <w:r>
        <w:t xml:space="preserve"> and to non-human biota</w:t>
      </w:r>
      <w:r w:rsidRPr="00961FCF">
        <w:t xml:space="preserve"> that could be exposed due to the contaminated area, on and in the vicinity of the site, should be addressed within the context of the site-specific conditions</w:t>
      </w:r>
      <w:r>
        <w:t>, considering</w:t>
      </w:r>
      <w:r w:rsidRPr="00961FCF">
        <w:t xml:space="preserve"> </w:t>
      </w:r>
      <w:r>
        <w:t>relevant</w:t>
      </w:r>
      <w:r w:rsidRPr="00961FCF">
        <w:t xml:space="preserve"> mechanisms of dispersion and migration of radionuclides. </w:t>
      </w:r>
      <w:r>
        <w:t xml:space="preserve">A thorough assessment of </w:t>
      </w:r>
      <w:r w:rsidRPr="00961FCF">
        <w:t>the extent and characteristics of radiological and non-radiological contamination and the possib</w:t>
      </w:r>
      <w:r>
        <w:t>ility</w:t>
      </w:r>
      <w:r w:rsidRPr="00961FCF">
        <w:t xml:space="preserve"> </w:t>
      </w:r>
      <w:r>
        <w:t xml:space="preserve">of further </w:t>
      </w:r>
      <w:r w:rsidRPr="00961FCF">
        <w:t>migration into the surrounding areas</w:t>
      </w:r>
      <w:r>
        <w:t xml:space="preserve"> over time </w:t>
      </w:r>
      <w:r w:rsidRPr="00961FCF">
        <w:t xml:space="preserve">is important </w:t>
      </w:r>
      <w:r>
        <w:t>for i</w:t>
      </w:r>
      <w:r w:rsidRPr="00961FCF">
        <w:t>dentifying appropriate receptors and providing input to a conceptual site model</w:t>
      </w:r>
      <w:r>
        <w:t>. A</w:t>
      </w:r>
      <w:r w:rsidRPr="00961FCF">
        <w:t xml:space="preserve"> corresponding quantitative site model can </w:t>
      </w:r>
      <w:r>
        <w:t xml:space="preserve">then </w:t>
      </w:r>
      <w:r w:rsidRPr="00961FCF">
        <w:t xml:space="preserve">be used to </w:t>
      </w:r>
      <w:r>
        <w:t xml:space="preserve">inform the selection of </w:t>
      </w:r>
      <w:r w:rsidRPr="00961FCF">
        <w:t xml:space="preserve">the </w:t>
      </w:r>
      <w:r>
        <w:t xml:space="preserve">most </w:t>
      </w:r>
      <w:r w:rsidR="00525ECB">
        <w:t>suitable</w:t>
      </w:r>
      <w:r>
        <w:t xml:space="preserve"> </w:t>
      </w:r>
      <w:r w:rsidRPr="00961FCF">
        <w:t>protection strategy.</w:t>
      </w:r>
    </w:p>
    <w:p w14:paraId="2848ADED" w14:textId="6D7EE0E9" w:rsidR="0077659A" w:rsidRDefault="0077659A" w:rsidP="0077659A">
      <w:pPr>
        <w:pStyle w:val="ICRPnumberedparagraph"/>
        <w:numPr>
          <w:ilvl w:val="0"/>
          <w:numId w:val="13"/>
        </w:numPr>
        <w:tabs>
          <w:tab w:val="num" w:pos="630"/>
        </w:tabs>
        <w:ind w:left="0"/>
      </w:pPr>
      <w:r w:rsidRPr="00961FCF">
        <w:t>Dose assessment should be supported by site</w:t>
      </w:r>
      <w:r>
        <w:t>-</w:t>
      </w:r>
      <w:r w:rsidRPr="00961FCF">
        <w:t>specific data</w:t>
      </w:r>
      <w:r>
        <w:t xml:space="preserve">, </w:t>
      </w:r>
      <w:r w:rsidRPr="00961FCF">
        <w:t xml:space="preserve">assuming realistic exposure scenarios. </w:t>
      </w:r>
      <w:r>
        <w:t>It</w:t>
      </w:r>
      <w:r w:rsidRPr="00961FCF">
        <w:t xml:space="preserve"> should avoid </w:t>
      </w:r>
      <w:r w:rsidR="003C4C21">
        <w:t xml:space="preserve">using </w:t>
      </w:r>
      <w:r w:rsidR="002E3EEC">
        <w:t xml:space="preserve">compounding or overly </w:t>
      </w:r>
      <w:r w:rsidRPr="00961FCF">
        <w:t xml:space="preserve">conservative assumptions that result in unlikely outcomes. However, it may be appropriate to consider </w:t>
      </w:r>
      <w:r w:rsidR="00CA0072">
        <w:t xml:space="preserve">physically realistic </w:t>
      </w:r>
      <w:r w:rsidRPr="00961FCF">
        <w:t>exposures</w:t>
      </w:r>
      <w:r w:rsidR="002D6101">
        <w:t xml:space="preserve">, </w:t>
      </w:r>
      <w:r w:rsidRPr="00961FCF">
        <w:t xml:space="preserve">even if they are unlikely, to establish the potential upper level of dose or risk in situations where exposure may continue for decades or even centuries into the future, </w:t>
      </w:r>
      <w:r>
        <w:t>as an</w:t>
      </w:r>
      <w:r w:rsidRPr="00961FCF">
        <w:t xml:space="preserve"> input into decisions on protection strategy. In such cases, the likelihood of exposure should also be considered.</w:t>
      </w:r>
    </w:p>
    <w:p w14:paraId="074514D9" w14:textId="30DDCE57" w:rsidR="0077659A" w:rsidRPr="00961FCF" w:rsidRDefault="0077659A" w:rsidP="0077659A">
      <w:pPr>
        <w:pStyle w:val="ICRPnumberedparagraph"/>
        <w:numPr>
          <w:ilvl w:val="0"/>
          <w:numId w:val="13"/>
        </w:numPr>
        <w:tabs>
          <w:tab w:val="num" w:pos="630"/>
        </w:tabs>
        <w:ind w:left="0"/>
      </w:pPr>
      <w:r w:rsidRPr="00C662F8">
        <w:t xml:space="preserve">As stated in </w:t>
      </w:r>
      <w:r w:rsidRPr="00667C97">
        <w:rPr>
          <w:i/>
          <w:iCs/>
        </w:rPr>
        <w:t>Publication 101</w:t>
      </w:r>
      <w:r w:rsidR="00BE2893">
        <w:rPr>
          <w:i/>
          <w:iCs/>
        </w:rPr>
        <w:t>a</w:t>
      </w:r>
      <w:r w:rsidRPr="00C662F8">
        <w:t xml:space="preserve"> (ICRP 2006a), </w:t>
      </w:r>
      <w:r w:rsidR="00AB3CE5">
        <w:t xml:space="preserve">the representative person concept </w:t>
      </w:r>
      <w:r w:rsidR="00E93D40">
        <w:t xml:space="preserve">is used to </w:t>
      </w:r>
      <w:r w:rsidRPr="00C662F8">
        <w:t>estimat</w:t>
      </w:r>
      <w:r w:rsidR="00E93D40">
        <w:t>e</w:t>
      </w:r>
      <w:r w:rsidRPr="00C662F8">
        <w:t xml:space="preserve"> exposures to the public arising from residual radioactivity</w:t>
      </w:r>
      <w:r w:rsidR="00AB4A3E">
        <w:t xml:space="preserve">. </w:t>
      </w:r>
      <w:r w:rsidRPr="00C662F8">
        <w:t xml:space="preserve">The representative person is an individual receiving a dose that is representative of the doses to the more highly exposed individuals in the population under consideration. The representative person for a particular set of circumstances should be selected carefully. </w:t>
      </w:r>
      <w:r w:rsidR="002C312E">
        <w:t>Appropriate</w:t>
      </w:r>
      <w:r w:rsidRPr="00C662F8">
        <w:t xml:space="preserve"> attention should be paid to population groups with special living habits. Their living patterns and habits of food and water </w:t>
      </w:r>
      <w:r w:rsidR="00256FC5">
        <w:t xml:space="preserve">consumption </w:t>
      </w:r>
      <w:r w:rsidRPr="00C662F8">
        <w:t xml:space="preserve">could give rise to pathways and elevated exposure levels that are unanticipated by </w:t>
      </w:r>
      <w:r w:rsidR="002E3EEC" w:rsidRPr="002E3EEC">
        <w:t xml:space="preserve">relying on the population average or majority habits in the </w:t>
      </w:r>
      <w:r w:rsidRPr="00C662F8">
        <w:t xml:space="preserve">analysis. In addition, potential habits that could reasonably be associated with the site should also be considered, including </w:t>
      </w:r>
      <w:r w:rsidR="00046422">
        <w:t xml:space="preserve">the </w:t>
      </w:r>
      <w:r w:rsidRPr="00C662F8">
        <w:t xml:space="preserve">production of different foods or </w:t>
      </w:r>
      <w:r w:rsidR="001B1ACA">
        <w:t xml:space="preserve">the </w:t>
      </w:r>
      <w:r w:rsidRPr="00C662F8">
        <w:t xml:space="preserve">use of the land for </w:t>
      </w:r>
      <w:r w:rsidR="001B1ACA">
        <w:t>various</w:t>
      </w:r>
      <w:r w:rsidRPr="00C662F8">
        <w:t xml:space="preserve"> recreational activities (</w:t>
      </w:r>
      <w:proofErr w:type="spellStart"/>
      <w:r w:rsidRPr="00C662F8">
        <w:t>Griffault</w:t>
      </w:r>
      <w:proofErr w:type="spellEnd"/>
      <w:r w:rsidRPr="00C662F8">
        <w:t xml:space="preserve"> et al</w:t>
      </w:r>
      <w:r w:rsidR="00950DDC">
        <w:t>.</w:t>
      </w:r>
      <w:r w:rsidRPr="00C662F8">
        <w:t>, 2022).</w:t>
      </w:r>
    </w:p>
    <w:p w14:paraId="003D81B5" w14:textId="183D97C8" w:rsidR="0077659A" w:rsidRPr="00256BA5" w:rsidRDefault="00ED5847" w:rsidP="00754334">
      <w:pPr>
        <w:pStyle w:val="ICRPnumberedparagraph"/>
        <w:numPr>
          <w:ilvl w:val="0"/>
          <w:numId w:val="13"/>
        </w:numPr>
        <w:tabs>
          <w:tab w:val="num" w:pos="630"/>
        </w:tabs>
        <w:ind w:left="0"/>
      </w:pPr>
      <w:r>
        <w:t>T</w:t>
      </w:r>
      <w:r w:rsidR="0077659A" w:rsidRPr="00256BA5">
        <w:t xml:space="preserve">he characterisation </w:t>
      </w:r>
      <w:r w:rsidR="0077659A">
        <w:t>phase</w:t>
      </w:r>
      <w:r w:rsidR="0077659A" w:rsidRPr="00256BA5">
        <w:t xml:space="preserve"> </w:t>
      </w:r>
      <w:r>
        <w:t xml:space="preserve">must be </w:t>
      </w:r>
      <w:r w:rsidR="0077659A" w:rsidRPr="00256BA5">
        <w:t>fully documented to provide a robust basis for selecting possible remedia</w:t>
      </w:r>
      <w:r w:rsidR="00FF5FB9">
        <w:t>l</w:t>
      </w:r>
      <w:r w:rsidR="0077659A" w:rsidRPr="00256BA5">
        <w:t xml:space="preserve"> actions and judging their associated effectiveness.</w:t>
      </w:r>
      <w:r w:rsidR="0093623B" w:rsidRPr="0093623B">
        <w:t xml:space="preserve"> </w:t>
      </w:r>
    </w:p>
    <w:p w14:paraId="38A04208" w14:textId="2AF04D3F" w:rsidR="008828DE" w:rsidRPr="003B6E87" w:rsidRDefault="0077659A" w:rsidP="003B6E87">
      <w:pPr>
        <w:pStyle w:val="ICRPnumberedparagraph"/>
        <w:numPr>
          <w:ilvl w:val="0"/>
          <w:numId w:val="13"/>
        </w:numPr>
        <w:tabs>
          <w:tab w:val="num" w:pos="630"/>
        </w:tabs>
        <w:ind w:left="0"/>
      </w:pPr>
      <w:r w:rsidRPr="00256BA5">
        <w:t xml:space="preserve">Characterisation of the </w:t>
      </w:r>
      <w:r w:rsidRPr="00D33398">
        <w:t>situation</w:t>
      </w:r>
      <w:r w:rsidRPr="00256BA5">
        <w:t xml:space="preserve"> will support the decision of </w:t>
      </w:r>
      <w:r w:rsidR="002D7DD6" w:rsidRPr="00256BA5">
        <w:t>whether</w:t>
      </w:r>
      <w:r w:rsidRPr="00256BA5">
        <w:t xml:space="preserve"> the implementation of a protection strategy is justified, </w:t>
      </w:r>
      <w:proofErr w:type="gramStart"/>
      <w:r w:rsidRPr="00256BA5">
        <w:t>taking into account</w:t>
      </w:r>
      <w:proofErr w:type="gramEnd"/>
      <w:r w:rsidRPr="00256BA5">
        <w:t xml:space="preserve"> dose reduction, technical feasibility, health, economic, </w:t>
      </w:r>
      <w:r w:rsidR="00C666EA">
        <w:t xml:space="preserve">environmental, </w:t>
      </w:r>
      <w:r w:rsidRPr="00256BA5">
        <w:t>societal, cultural, ethical</w:t>
      </w:r>
      <w:r w:rsidR="00AF58C6">
        <w:t>,</w:t>
      </w:r>
      <w:r w:rsidRPr="00256BA5">
        <w:t xml:space="preserve"> and other considerations, as appropriate.</w:t>
      </w:r>
      <w:r w:rsidR="00784248" w:rsidRPr="00784248">
        <w:t xml:space="preserve"> Evaluating economic, sustainability, and social factors is also important in developing a remediation strategy</w:t>
      </w:r>
      <w:r w:rsidR="00B14362">
        <w:t>.</w:t>
      </w:r>
    </w:p>
    <w:p w14:paraId="7711FE20" w14:textId="77777777" w:rsidR="008828DE" w:rsidRPr="00B937C3" w:rsidRDefault="008828DE" w:rsidP="003B6E87">
      <w:pPr>
        <w:pStyle w:val="AnnalshdgB"/>
        <w:numPr>
          <w:ilvl w:val="1"/>
          <w:numId w:val="42"/>
        </w:numPr>
        <w:jc w:val="left"/>
        <w:rPr>
          <w:i w:val="0"/>
        </w:rPr>
      </w:pPr>
      <w:bookmarkStart w:id="70" w:name="_Toc117873838"/>
      <w:bookmarkStart w:id="71" w:name="_Toc159397477"/>
      <w:bookmarkStart w:id="72" w:name="_Toc166586815"/>
      <w:bookmarkStart w:id="73" w:name="_Toc117873844"/>
      <w:r w:rsidRPr="00B937C3">
        <w:rPr>
          <w:i w:val="0"/>
        </w:rPr>
        <w:lastRenderedPageBreak/>
        <w:t>Planning of remediation</w:t>
      </w:r>
      <w:bookmarkEnd w:id="70"/>
      <w:bookmarkEnd w:id="71"/>
      <w:bookmarkEnd w:id="72"/>
    </w:p>
    <w:p w14:paraId="084F0DEF" w14:textId="0B6E20EF" w:rsidR="008828DE" w:rsidRPr="008828DE" w:rsidRDefault="00FF5FB9" w:rsidP="00667C97">
      <w:pPr>
        <w:numPr>
          <w:ilvl w:val="0"/>
          <w:numId w:val="13"/>
        </w:numPr>
        <w:tabs>
          <w:tab w:val="num" w:pos="634"/>
          <w:tab w:val="left" w:pos="851"/>
        </w:tabs>
        <w:ind w:left="0" w:firstLine="284"/>
        <w:jc w:val="both"/>
        <w:rPr>
          <w:rFonts w:eastAsia="ＭＳ 明朝"/>
          <w:szCs w:val="22"/>
          <w:lang w:eastAsia="ja-JP"/>
        </w:rPr>
      </w:pPr>
      <w:bookmarkStart w:id="74" w:name="_Hlk122100535"/>
      <w:r w:rsidRPr="008828DE">
        <w:rPr>
          <w:rFonts w:eastAsia="ＭＳ 明朝"/>
          <w:szCs w:val="22"/>
          <w:lang w:eastAsia="ja-JP"/>
        </w:rPr>
        <w:t>Remedia</w:t>
      </w:r>
      <w:r>
        <w:rPr>
          <w:rFonts w:eastAsia="ＭＳ 明朝"/>
          <w:szCs w:val="22"/>
          <w:lang w:eastAsia="ja-JP"/>
        </w:rPr>
        <w:t>l</w:t>
      </w:r>
      <w:r w:rsidRPr="008828DE">
        <w:rPr>
          <w:rFonts w:eastAsia="ＭＳ 明朝"/>
          <w:szCs w:val="22"/>
          <w:lang w:eastAsia="ja-JP"/>
        </w:rPr>
        <w:t xml:space="preserve"> </w:t>
      </w:r>
      <w:r w:rsidR="008828DE" w:rsidRPr="008828DE">
        <w:rPr>
          <w:rFonts w:eastAsia="ＭＳ 明朝"/>
          <w:szCs w:val="22"/>
          <w:lang w:eastAsia="ja-JP"/>
        </w:rPr>
        <w:t xml:space="preserve">actions need to be selected and tailored according to the characteristics of the situation, including the nature of radioactive contaminants, </w:t>
      </w:r>
      <w:r w:rsidR="006F55CB">
        <w:rPr>
          <w:rFonts w:eastAsia="ＭＳ 明朝"/>
          <w:szCs w:val="22"/>
          <w:lang w:eastAsia="ja-JP"/>
        </w:rPr>
        <w:t xml:space="preserve">the </w:t>
      </w:r>
      <w:r w:rsidR="008828DE" w:rsidRPr="008828DE">
        <w:rPr>
          <w:rFonts w:eastAsia="ＭＳ 明朝"/>
          <w:szCs w:val="22"/>
          <w:lang w:eastAsia="ja-JP"/>
        </w:rPr>
        <w:t xml:space="preserve">extent of contamination, </w:t>
      </w:r>
      <w:r w:rsidR="00805C81">
        <w:rPr>
          <w:rFonts w:eastAsia="ＭＳ 明朝"/>
          <w:szCs w:val="22"/>
          <w:lang w:eastAsia="ja-JP"/>
        </w:rPr>
        <w:t xml:space="preserve">the </w:t>
      </w:r>
      <w:r w:rsidR="008828DE" w:rsidRPr="008828DE">
        <w:rPr>
          <w:rFonts w:eastAsia="ＭＳ 明朝"/>
          <w:szCs w:val="22"/>
          <w:lang w:eastAsia="ja-JP"/>
        </w:rPr>
        <w:t>physicochemical environment</w:t>
      </w:r>
      <w:r w:rsidR="00805C81">
        <w:rPr>
          <w:rFonts w:eastAsia="ＭＳ 明朝"/>
          <w:szCs w:val="22"/>
          <w:lang w:eastAsia="ja-JP"/>
        </w:rPr>
        <w:t>,</w:t>
      </w:r>
      <w:r w:rsidR="008828DE" w:rsidRPr="008828DE">
        <w:rPr>
          <w:rFonts w:eastAsia="ＭＳ 明朝"/>
          <w:szCs w:val="22"/>
          <w:lang w:eastAsia="ja-JP"/>
        </w:rPr>
        <w:t xml:space="preserve"> and the exposure pathways.</w:t>
      </w:r>
      <w:r w:rsidR="00B14362" w:rsidRPr="00B14362">
        <w:t xml:space="preserve"> </w:t>
      </w:r>
      <w:r w:rsidR="00B14362">
        <w:t>There may be circumstances related to the exposure situation</w:t>
      </w:r>
      <w:r w:rsidR="00FE22DD">
        <w:t xml:space="preserve"> or conditions of the area</w:t>
      </w:r>
      <w:r w:rsidR="00B14362">
        <w:t xml:space="preserve"> that impl</w:t>
      </w:r>
      <w:r w:rsidR="0002595D">
        <w:t>y</w:t>
      </w:r>
      <w:r w:rsidR="00B14362">
        <w:t xml:space="preserve"> that there </w:t>
      </w:r>
      <w:r w:rsidR="00B14362" w:rsidRPr="001F1C74">
        <w:t>are no advantages to implement</w:t>
      </w:r>
      <w:r w:rsidR="009373C9">
        <w:t>ing</w:t>
      </w:r>
      <w:r w:rsidR="00B14362" w:rsidRPr="001F1C74">
        <w:t xml:space="preserve"> a</w:t>
      </w:r>
      <w:r w:rsidR="00B14362">
        <w:t xml:space="preserve"> remediation </w:t>
      </w:r>
      <w:r w:rsidR="00B14362" w:rsidRPr="001F1C74">
        <w:t>action</w:t>
      </w:r>
      <w:r w:rsidR="00B14362">
        <w:t xml:space="preserve">. The </w:t>
      </w:r>
      <w:r w:rsidR="00950DDC">
        <w:t>‘</w:t>
      </w:r>
      <w:r w:rsidR="00B14362">
        <w:t>no action</w:t>
      </w:r>
      <w:r w:rsidR="00950DDC">
        <w:t>’</w:t>
      </w:r>
      <w:r w:rsidR="00B14362">
        <w:t xml:space="preserve"> scenario should always be analysed</w:t>
      </w:r>
      <w:r w:rsidR="00EB0530">
        <w:t xml:space="preserve"> to help d</w:t>
      </w:r>
      <w:r w:rsidR="00EB0530" w:rsidRPr="00EB0530">
        <w:t>ecid</w:t>
      </w:r>
      <w:r w:rsidR="004F76BD">
        <w:t>e</w:t>
      </w:r>
      <w:r w:rsidR="00EB0530" w:rsidRPr="00EB0530">
        <w:t xml:space="preserve"> if </w:t>
      </w:r>
      <w:r w:rsidR="00EB0530">
        <w:t>actions are</w:t>
      </w:r>
      <w:r w:rsidR="00EB0530" w:rsidRPr="00EB0530">
        <w:t xml:space="preserve"> </w:t>
      </w:r>
      <w:r w:rsidR="000F28FB">
        <w:t>justified</w:t>
      </w:r>
      <w:r w:rsidR="000F28FB" w:rsidRPr="00EB0530">
        <w:t xml:space="preserve"> </w:t>
      </w:r>
      <w:r w:rsidR="00EB0530" w:rsidRPr="00EB0530">
        <w:t>for a given situation</w:t>
      </w:r>
      <w:r w:rsidR="00EB0530">
        <w:t>.</w:t>
      </w:r>
    </w:p>
    <w:p w14:paraId="5BD64A7C" w14:textId="580E5A95"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If, based on the characterisation of the situation, the implementation of a protection strategy and associated </w:t>
      </w:r>
      <w:r w:rsidR="00FF5FB9" w:rsidRPr="008828DE">
        <w:rPr>
          <w:rFonts w:eastAsia="ＭＳ 明朝"/>
          <w:szCs w:val="22"/>
          <w:lang w:eastAsia="ja-JP"/>
        </w:rPr>
        <w:t>remedia</w:t>
      </w:r>
      <w:r w:rsidR="00FF5FB9">
        <w:rPr>
          <w:rFonts w:eastAsia="ＭＳ 明朝"/>
          <w:szCs w:val="22"/>
          <w:lang w:eastAsia="ja-JP"/>
        </w:rPr>
        <w:t>l</w:t>
      </w:r>
      <w:r w:rsidR="00FF5FB9" w:rsidRPr="008828DE">
        <w:rPr>
          <w:rFonts w:eastAsia="ＭＳ 明朝"/>
          <w:szCs w:val="22"/>
          <w:lang w:eastAsia="ja-JP"/>
        </w:rPr>
        <w:t xml:space="preserve"> </w:t>
      </w:r>
      <w:r w:rsidRPr="008828DE">
        <w:rPr>
          <w:rFonts w:eastAsia="ＭＳ 明朝"/>
          <w:szCs w:val="22"/>
          <w:lang w:eastAsia="ja-JP"/>
        </w:rPr>
        <w:t xml:space="preserve">actions is justified, the remediation planning phase should be initiated. Different </w:t>
      </w:r>
      <w:r w:rsidR="00FF5FB9" w:rsidRPr="008828DE">
        <w:rPr>
          <w:rFonts w:eastAsia="ＭＳ 明朝"/>
          <w:szCs w:val="22"/>
          <w:lang w:eastAsia="ja-JP"/>
        </w:rPr>
        <w:t>remedia</w:t>
      </w:r>
      <w:r w:rsidR="00FF5FB9">
        <w:rPr>
          <w:rFonts w:eastAsia="ＭＳ 明朝"/>
          <w:szCs w:val="22"/>
          <w:lang w:eastAsia="ja-JP"/>
        </w:rPr>
        <w:t>l</w:t>
      </w:r>
      <w:r w:rsidR="00FF5FB9" w:rsidRPr="008828DE">
        <w:rPr>
          <w:rFonts w:eastAsia="ＭＳ 明朝"/>
          <w:szCs w:val="22"/>
          <w:lang w:eastAsia="ja-JP"/>
        </w:rPr>
        <w:t xml:space="preserve"> </w:t>
      </w:r>
      <w:r w:rsidRPr="008828DE">
        <w:rPr>
          <w:rFonts w:eastAsia="ＭＳ 明朝"/>
          <w:szCs w:val="22"/>
          <w:lang w:eastAsia="ja-JP"/>
        </w:rPr>
        <w:t xml:space="preserve">actions may be investigated and considered </w:t>
      </w:r>
      <w:proofErr w:type="gramStart"/>
      <w:r w:rsidRPr="008828DE">
        <w:rPr>
          <w:rFonts w:eastAsia="ＭＳ 明朝"/>
          <w:szCs w:val="22"/>
          <w:lang w:eastAsia="ja-JP"/>
        </w:rPr>
        <w:t>with regard to</w:t>
      </w:r>
      <w:proofErr w:type="gramEnd"/>
      <w:r w:rsidRPr="008828DE">
        <w:rPr>
          <w:rFonts w:eastAsia="ＭＳ 明朝"/>
          <w:szCs w:val="22"/>
          <w:lang w:eastAsia="ja-JP"/>
        </w:rPr>
        <w:t xml:space="preserve"> (but not only) the objectives of protection of remediation workers, the public and the environment. The definition of such objectives </w:t>
      </w:r>
      <w:r w:rsidR="004E6928">
        <w:rPr>
          <w:rFonts w:eastAsia="ＭＳ 明朝"/>
          <w:szCs w:val="22"/>
          <w:lang w:eastAsia="ja-JP"/>
        </w:rPr>
        <w:t>should</w:t>
      </w:r>
      <w:r w:rsidRPr="008828DE">
        <w:rPr>
          <w:rFonts w:eastAsia="ＭＳ 明朝"/>
          <w:szCs w:val="22"/>
          <w:lang w:eastAsia="ja-JP"/>
        </w:rPr>
        <w:t xml:space="preserve"> consider a wide variety of aspects as well as views expressed by stakeholders.</w:t>
      </w:r>
    </w:p>
    <w:p w14:paraId="46F46DE2" w14:textId="2ED5FFCC" w:rsidR="008828DE" w:rsidRPr="00A93BF2" w:rsidRDefault="008828DE" w:rsidP="00AC7C6C">
      <w:pPr>
        <w:numPr>
          <w:ilvl w:val="0"/>
          <w:numId w:val="13"/>
        </w:numPr>
        <w:tabs>
          <w:tab w:val="num" w:pos="634"/>
          <w:tab w:val="left" w:pos="851"/>
        </w:tabs>
        <w:ind w:left="0"/>
        <w:jc w:val="both"/>
        <w:rPr>
          <w:rFonts w:eastAsia="ＭＳ 明朝"/>
          <w:szCs w:val="22"/>
          <w:lang w:eastAsia="ja-JP"/>
        </w:rPr>
      </w:pPr>
      <w:r w:rsidRPr="00A93BF2">
        <w:rPr>
          <w:rFonts w:eastAsia="ＭＳ 明朝"/>
          <w:szCs w:val="22"/>
          <w:lang w:eastAsia="ja-JP"/>
        </w:rPr>
        <w:t>Remediation planning involves establish</w:t>
      </w:r>
      <w:r w:rsidR="00BD2033">
        <w:rPr>
          <w:rFonts w:eastAsia="ＭＳ 明朝"/>
          <w:szCs w:val="22"/>
          <w:lang w:eastAsia="ja-JP"/>
        </w:rPr>
        <w:t>ing</w:t>
      </w:r>
      <w:r w:rsidRPr="00A93BF2">
        <w:rPr>
          <w:rFonts w:eastAsia="ＭＳ 明朝"/>
          <w:szCs w:val="22"/>
          <w:lang w:eastAsia="ja-JP"/>
        </w:rPr>
        <w:t xml:space="preserve"> a reference level for the residual dose</w:t>
      </w:r>
      <w:r w:rsidR="009C6CE9">
        <w:rPr>
          <w:rFonts w:eastAsia="ＭＳ 明朝"/>
          <w:szCs w:val="22"/>
          <w:lang w:eastAsia="ja-JP"/>
        </w:rPr>
        <w:t>,</w:t>
      </w:r>
      <w:r w:rsidRPr="00A93BF2">
        <w:rPr>
          <w:rFonts w:eastAsia="ＭＳ 明朝"/>
          <w:szCs w:val="22"/>
          <w:lang w:eastAsia="ja-JP"/>
        </w:rPr>
        <w:t xml:space="preserve"> which is used for </w:t>
      </w:r>
      <w:r w:rsidR="00BC1613" w:rsidRPr="00A93BF2">
        <w:rPr>
          <w:rFonts w:eastAsia="ＭＳ 明朝"/>
          <w:szCs w:val="22"/>
          <w:lang w:eastAsia="ja-JP"/>
        </w:rPr>
        <w:t xml:space="preserve">applying </w:t>
      </w:r>
      <w:r w:rsidRPr="00A93BF2">
        <w:rPr>
          <w:rFonts w:eastAsia="ＭＳ 明朝"/>
          <w:szCs w:val="22"/>
          <w:lang w:eastAsia="ja-JP"/>
        </w:rPr>
        <w:t xml:space="preserve">optimisation of protection. Relevant authorities should select values that are appropriate </w:t>
      </w:r>
      <w:proofErr w:type="gramStart"/>
      <w:r w:rsidRPr="00A93BF2">
        <w:rPr>
          <w:rFonts w:eastAsia="ＭＳ 明朝"/>
          <w:szCs w:val="22"/>
          <w:lang w:eastAsia="ja-JP"/>
        </w:rPr>
        <w:t>with regard to</w:t>
      </w:r>
      <w:proofErr w:type="gramEnd"/>
      <w:r w:rsidRPr="00A93BF2">
        <w:rPr>
          <w:rFonts w:eastAsia="ＭＳ 明朝"/>
          <w:szCs w:val="22"/>
          <w:lang w:eastAsia="ja-JP"/>
        </w:rPr>
        <w:t xml:space="preserve"> </w:t>
      </w:r>
      <w:r w:rsidR="00A250F2">
        <w:rPr>
          <w:rFonts w:eastAsia="ＭＳ 明朝"/>
          <w:szCs w:val="22"/>
          <w:lang w:eastAsia="ja-JP"/>
        </w:rPr>
        <w:t xml:space="preserve">the </w:t>
      </w:r>
      <w:r w:rsidRPr="00A93BF2">
        <w:rPr>
          <w:rFonts w:eastAsia="ＭＳ 明朝"/>
          <w:szCs w:val="22"/>
          <w:lang w:eastAsia="ja-JP"/>
        </w:rPr>
        <w:t xml:space="preserve">prevailing circumstances and </w:t>
      </w:r>
      <w:r w:rsidR="00A250F2">
        <w:rPr>
          <w:rFonts w:eastAsia="ＭＳ 明朝"/>
          <w:szCs w:val="22"/>
          <w:lang w:eastAsia="ja-JP"/>
        </w:rPr>
        <w:t xml:space="preserve">that reflect discussions and agreements </w:t>
      </w:r>
      <w:r w:rsidR="00B41784" w:rsidRPr="00A93BF2">
        <w:rPr>
          <w:rFonts w:eastAsia="ＭＳ 明朝"/>
          <w:szCs w:val="22"/>
          <w:lang w:eastAsia="ja-JP"/>
        </w:rPr>
        <w:t xml:space="preserve">with </w:t>
      </w:r>
      <w:r w:rsidR="002437F5" w:rsidRPr="00A93BF2">
        <w:rPr>
          <w:rFonts w:eastAsia="ＭＳ 明朝"/>
          <w:szCs w:val="22"/>
          <w:lang w:eastAsia="ja-JP"/>
        </w:rPr>
        <w:t xml:space="preserve">relevant </w:t>
      </w:r>
      <w:r w:rsidRPr="00A93BF2">
        <w:rPr>
          <w:rFonts w:eastAsia="ＭＳ 明朝"/>
          <w:szCs w:val="22"/>
          <w:lang w:eastAsia="ja-JP"/>
        </w:rPr>
        <w:t xml:space="preserve">stakeholders (e.g. environmental conditions, characteristics of the area, surrounding population and habits, the availability of resources for remediation, </w:t>
      </w:r>
      <w:r w:rsidR="006B4DDB" w:rsidRPr="00A93BF2">
        <w:rPr>
          <w:rFonts w:eastAsia="ＭＳ 明朝"/>
          <w:szCs w:val="22"/>
          <w:lang w:eastAsia="ja-JP"/>
        </w:rPr>
        <w:t>cost for remediation, technical feasibility,</w:t>
      </w:r>
      <w:r w:rsidR="00A93BF2">
        <w:rPr>
          <w:rFonts w:eastAsia="ＭＳ 明朝"/>
          <w:szCs w:val="22"/>
          <w:lang w:eastAsia="ja-JP"/>
        </w:rPr>
        <w:t xml:space="preserve"> </w:t>
      </w:r>
      <w:r w:rsidRPr="00A93BF2">
        <w:rPr>
          <w:rFonts w:eastAsia="ＭＳ 明朝"/>
          <w:szCs w:val="22"/>
          <w:lang w:eastAsia="ja-JP"/>
        </w:rPr>
        <w:t xml:space="preserve">etc.). Optimisation of protection is an iterative process that is applied to </w:t>
      </w:r>
      <w:r w:rsidR="00A50E32">
        <w:rPr>
          <w:rFonts w:eastAsia="ＭＳ 明朝"/>
          <w:szCs w:val="22"/>
          <w:lang w:eastAsia="ja-JP"/>
        </w:rPr>
        <w:t xml:space="preserve">both </w:t>
      </w:r>
      <w:r w:rsidRPr="00A93BF2">
        <w:rPr>
          <w:rFonts w:eastAsia="ＭＳ 明朝"/>
          <w:szCs w:val="22"/>
          <w:lang w:eastAsia="ja-JP"/>
        </w:rPr>
        <w:t>plan</w:t>
      </w:r>
      <w:r w:rsidR="00A50E32">
        <w:rPr>
          <w:rFonts w:eastAsia="ＭＳ 明朝"/>
          <w:szCs w:val="22"/>
          <w:lang w:eastAsia="ja-JP"/>
        </w:rPr>
        <w:t>ning</w:t>
      </w:r>
      <w:r w:rsidRPr="00A93BF2">
        <w:rPr>
          <w:rFonts w:eastAsia="ＭＳ 明朝"/>
          <w:szCs w:val="22"/>
          <w:lang w:eastAsia="ja-JP"/>
        </w:rPr>
        <w:t xml:space="preserve"> and implement</w:t>
      </w:r>
      <w:r w:rsidR="00A50E32">
        <w:rPr>
          <w:rFonts w:eastAsia="ＭＳ 明朝"/>
          <w:szCs w:val="22"/>
          <w:lang w:eastAsia="ja-JP"/>
        </w:rPr>
        <w:t>ing</w:t>
      </w:r>
      <w:r w:rsidRPr="00A93BF2">
        <w:rPr>
          <w:rFonts w:eastAsia="ＭＳ 明朝"/>
          <w:szCs w:val="22"/>
          <w:lang w:eastAsia="ja-JP"/>
        </w:rPr>
        <w:t xml:space="preserve"> remediation. </w:t>
      </w:r>
      <w:r w:rsidR="008564D1">
        <w:rPr>
          <w:rFonts w:eastAsia="ＭＳ 明朝"/>
          <w:szCs w:val="22"/>
          <w:lang w:eastAsia="ja-JP"/>
        </w:rPr>
        <w:t xml:space="preserve">According to </w:t>
      </w:r>
      <w:r w:rsidRPr="001A1387">
        <w:rPr>
          <w:rFonts w:eastAsia="ＭＳ 明朝"/>
          <w:szCs w:val="22"/>
          <w:lang w:eastAsia="ja-JP"/>
        </w:rPr>
        <w:t>ICRP</w:t>
      </w:r>
      <w:r w:rsidR="006B1E14" w:rsidRPr="001A1387">
        <w:rPr>
          <w:rFonts w:eastAsia="ＭＳ 明朝"/>
          <w:szCs w:val="22"/>
          <w:lang w:eastAsia="ja-JP"/>
        </w:rPr>
        <w:t xml:space="preserve"> </w:t>
      </w:r>
      <w:r w:rsidR="006B1E14" w:rsidRPr="00667C97">
        <w:rPr>
          <w:rFonts w:eastAsia="ＭＳ 明朝"/>
          <w:i/>
          <w:iCs/>
          <w:szCs w:val="22"/>
          <w:lang w:eastAsia="ja-JP"/>
        </w:rPr>
        <w:t>Publication</w:t>
      </w:r>
      <w:r w:rsidRPr="00667C97">
        <w:rPr>
          <w:rFonts w:eastAsia="ＭＳ 明朝"/>
          <w:i/>
          <w:iCs/>
          <w:szCs w:val="22"/>
          <w:lang w:eastAsia="ja-JP"/>
        </w:rPr>
        <w:t xml:space="preserve"> 103</w:t>
      </w:r>
      <w:r w:rsidRPr="001A1387">
        <w:rPr>
          <w:rFonts w:eastAsia="ＭＳ 明朝"/>
          <w:szCs w:val="22"/>
          <w:lang w:eastAsia="ja-JP"/>
        </w:rPr>
        <w:t xml:space="preserve">, the distribution of individual doses may be moved downwards </w:t>
      </w:r>
      <w:r w:rsidR="002727D3">
        <w:rPr>
          <w:rFonts w:eastAsia="ＭＳ 明朝"/>
          <w:szCs w:val="22"/>
          <w:lang w:eastAsia="ja-JP"/>
        </w:rPr>
        <w:t>s</w:t>
      </w:r>
      <w:r w:rsidRPr="001A1387">
        <w:rPr>
          <w:rFonts w:eastAsia="ＭＳ 明朝"/>
          <w:szCs w:val="22"/>
          <w:lang w:eastAsia="ja-JP"/>
        </w:rPr>
        <w:t xml:space="preserve">tepwise to progressively improve the situation until the </w:t>
      </w:r>
      <w:r w:rsidR="00D4367A">
        <w:rPr>
          <w:rFonts w:eastAsia="ＭＳ 明朝"/>
          <w:szCs w:val="22"/>
          <w:lang w:eastAsia="ja-JP"/>
        </w:rPr>
        <w:t xml:space="preserve">achieved level of protection can be considered as optimised. </w:t>
      </w:r>
      <w:r w:rsidR="00A93BF2" w:rsidRPr="00A93BF2">
        <w:rPr>
          <w:rFonts w:eastAsia="ＭＳ 明朝"/>
          <w:szCs w:val="22"/>
          <w:lang w:eastAsia="ja-JP"/>
        </w:rPr>
        <w:t xml:space="preserve">Local stakeholders need to be involved in discussions </w:t>
      </w:r>
      <w:r w:rsidR="00A250F2" w:rsidRPr="00A250F2">
        <w:rPr>
          <w:rFonts w:eastAsia="ＭＳ 明朝"/>
          <w:szCs w:val="22"/>
          <w:lang w:eastAsia="ja-JP"/>
        </w:rPr>
        <w:t xml:space="preserve">with the </w:t>
      </w:r>
      <w:r w:rsidR="00064D33">
        <w:rPr>
          <w:rFonts w:eastAsia="ＭＳ 明朝"/>
          <w:szCs w:val="22"/>
          <w:lang w:eastAsia="ja-JP"/>
        </w:rPr>
        <w:t>relevant</w:t>
      </w:r>
      <w:r w:rsidR="00064D33" w:rsidRPr="00A250F2">
        <w:rPr>
          <w:rFonts w:eastAsia="ＭＳ 明朝"/>
          <w:szCs w:val="22"/>
          <w:lang w:eastAsia="ja-JP"/>
        </w:rPr>
        <w:t xml:space="preserve"> </w:t>
      </w:r>
      <w:r w:rsidR="00A250F2" w:rsidRPr="00A250F2">
        <w:rPr>
          <w:rFonts w:eastAsia="ＭＳ 明朝"/>
          <w:szCs w:val="22"/>
          <w:lang w:eastAsia="ja-JP"/>
        </w:rPr>
        <w:t xml:space="preserve">authority </w:t>
      </w:r>
      <w:r w:rsidR="00A93BF2" w:rsidRPr="00A93BF2">
        <w:rPr>
          <w:rFonts w:eastAsia="ＭＳ 明朝"/>
          <w:szCs w:val="22"/>
          <w:lang w:eastAsia="ja-JP"/>
        </w:rPr>
        <w:t>concerning select</w:t>
      </w:r>
      <w:r w:rsidR="00E77AED">
        <w:rPr>
          <w:rFonts w:eastAsia="ＭＳ 明朝"/>
          <w:szCs w:val="22"/>
          <w:lang w:eastAsia="ja-JP"/>
        </w:rPr>
        <w:t>ing</w:t>
      </w:r>
      <w:r w:rsidR="00A93BF2" w:rsidRPr="00A93BF2">
        <w:rPr>
          <w:rFonts w:eastAsia="ＭＳ 明朝"/>
          <w:szCs w:val="22"/>
          <w:lang w:eastAsia="ja-JP"/>
        </w:rPr>
        <w:t xml:space="preserve"> </w:t>
      </w:r>
      <w:r w:rsidR="00A93BF2">
        <w:rPr>
          <w:rFonts w:eastAsia="ＭＳ 明朝"/>
          <w:szCs w:val="22"/>
          <w:lang w:eastAsia="ja-JP"/>
        </w:rPr>
        <w:t xml:space="preserve">the remediation end-state </w:t>
      </w:r>
      <w:r w:rsidR="007848B4">
        <w:rPr>
          <w:rFonts w:eastAsia="ＭＳ 明朝"/>
          <w:szCs w:val="22"/>
          <w:lang w:eastAsia="ja-JP"/>
        </w:rPr>
        <w:t xml:space="preserve">criteria </w:t>
      </w:r>
      <w:r w:rsidR="002E61D9">
        <w:rPr>
          <w:rFonts w:eastAsia="ＭＳ 明朝"/>
          <w:szCs w:val="22"/>
          <w:lang w:eastAsia="ja-JP"/>
        </w:rPr>
        <w:t>to</w:t>
      </w:r>
      <w:r w:rsidR="00A93BF2">
        <w:rPr>
          <w:rFonts w:eastAsia="ＭＳ 明朝"/>
          <w:szCs w:val="22"/>
          <w:lang w:eastAsia="ja-JP"/>
        </w:rPr>
        <w:t xml:space="preserve"> </w:t>
      </w:r>
      <w:r w:rsidR="00971143">
        <w:rPr>
          <w:rFonts w:eastAsia="ＭＳ 明朝"/>
          <w:szCs w:val="22"/>
          <w:lang w:eastAsia="ja-JP"/>
        </w:rPr>
        <w:t>share</w:t>
      </w:r>
      <w:r w:rsidR="00A93BF2">
        <w:rPr>
          <w:rFonts w:eastAsia="ＭＳ 明朝"/>
          <w:szCs w:val="22"/>
          <w:lang w:eastAsia="ja-JP"/>
        </w:rPr>
        <w:t xml:space="preserve"> their knowledge of the site and express their</w:t>
      </w:r>
      <w:r w:rsidR="00A93BF2" w:rsidRPr="00A93BF2">
        <w:rPr>
          <w:rFonts w:eastAsia="ＭＳ 明朝"/>
          <w:szCs w:val="22"/>
          <w:lang w:eastAsia="ja-JP"/>
        </w:rPr>
        <w:t xml:space="preserve"> concerns. </w:t>
      </w:r>
      <w:r w:rsidR="00C35787">
        <w:rPr>
          <w:rFonts w:eastAsia="ＭＳ 明朝"/>
          <w:szCs w:val="22"/>
          <w:lang w:eastAsia="ja-JP"/>
        </w:rPr>
        <w:t>The objective of the process should be t</w:t>
      </w:r>
      <w:r w:rsidR="00A93BF2">
        <w:rPr>
          <w:rFonts w:eastAsia="ＭＳ 明朝"/>
          <w:szCs w:val="22"/>
          <w:lang w:eastAsia="ja-JP"/>
        </w:rPr>
        <w:t>o achieve overall</w:t>
      </w:r>
      <w:r w:rsidR="00C35787">
        <w:rPr>
          <w:rFonts w:eastAsia="ＭＳ 明朝"/>
          <w:szCs w:val="22"/>
          <w:lang w:eastAsia="ja-JP"/>
        </w:rPr>
        <w:t xml:space="preserve"> well-being</w:t>
      </w:r>
      <w:r w:rsidR="00412A99">
        <w:rPr>
          <w:rFonts w:eastAsia="ＭＳ 明朝"/>
          <w:szCs w:val="22"/>
          <w:lang w:eastAsia="ja-JP"/>
        </w:rPr>
        <w:t xml:space="preserve">, </w:t>
      </w:r>
      <w:r w:rsidR="00412A99" w:rsidRPr="00A93BF2">
        <w:rPr>
          <w:rFonts w:eastAsia="ＭＳ 明朝"/>
          <w:szCs w:val="22"/>
          <w:lang w:eastAsia="ja-JP"/>
        </w:rPr>
        <w:t>addressing</w:t>
      </w:r>
      <w:r w:rsidR="00A93BF2" w:rsidRPr="00A93BF2">
        <w:rPr>
          <w:rFonts w:eastAsia="ＭＳ 明朝"/>
          <w:szCs w:val="22"/>
          <w:lang w:eastAsia="ja-JP"/>
        </w:rPr>
        <w:t xml:space="preserve"> all hazards and </w:t>
      </w:r>
      <w:r w:rsidR="00412A99" w:rsidRPr="00A93BF2">
        <w:rPr>
          <w:rFonts w:eastAsia="ＭＳ 明朝"/>
          <w:szCs w:val="22"/>
          <w:lang w:eastAsia="ja-JP"/>
        </w:rPr>
        <w:t>considering economic and soci</w:t>
      </w:r>
      <w:r w:rsidR="00064D33">
        <w:rPr>
          <w:rFonts w:eastAsia="ＭＳ 明朝"/>
          <w:szCs w:val="22"/>
          <w:lang w:eastAsia="ja-JP"/>
        </w:rPr>
        <w:t>et</w:t>
      </w:r>
      <w:r w:rsidR="00412A99" w:rsidRPr="00A93BF2">
        <w:rPr>
          <w:rFonts w:eastAsia="ＭＳ 明朝"/>
          <w:szCs w:val="22"/>
          <w:lang w:eastAsia="ja-JP"/>
        </w:rPr>
        <w:t>al aspects</w:t>
      </w:r>
      <w:r w:rsidR="00A93BF2">
        <w:rPr>
          <w:rFonts w:eastAsia="ＭＳ 明朝"/>
          <w:szCs w:val="22"/>
          <w:lang w:eastAsia="ja-JP"/>
        </w:rPr>
        <w:t>.</w:t>
      </w:r>
      <w:r w:rsidR="00A250F2">
        <w:rPr>
          <w:rFonts w:eastAsia="ＭＳ 明朝"/>
          <w:szCs w:val="22"/>
          <w:lang w:eastAsia="ja-JP"/>
        </w:rPr>
        <w:t xml:space="preserve"> </w:t>
      </w:r>
      <w:r w:rsidR="00DA7479">
        <w:rPr>
          <w:rFonts w:eastAsia="ＭＳ 明朝"/>
          <w:szCs w:val="22"/>
          <w:lang w:eastAsia="ja-JP"/>
        </w:rPr>
        <w:t>T</w:t>
      </w:r>
      <w:r w:rsidR="00DA7479" w:rsidRPr="00DA7479">
        <w:rPr>
          <w:rFonts w:eastAsia="ＭＳ 明朝"/>
          <w:szCs w:val="22"/>
          <w:lang w:eastAsia="ja-JP"/>
        </w:rPr>
        <w:t xml:space="preserve">he appropriate end state for a site in one location will not necessarily be the same as </w:t>
      </w:r>
      <w:r w:rsidR="00967219">
        <w:rPr>
          <w:rFonts w:eastAsia="ＭＳ 明朝"/>
          <w:szCs w:val="22"/>
          <w:lang w:eastAsia="ja-JP"/>
        </w:rPr>
        <w:t xml:space="preserve">that </w:t>
      </w:r>
      <w:r w:rsidR="00DA7479" w:rsidRPr="00DA7479">
        <w:rPr>
          <w:rFonts w:eastAsia="ＭＳ 明朝"/>
          <w:szCs w:val="22"/>
          <w:lang w:eastAsia="ja-JP"/>
        </w:rPr>
        <w:t>for a site with similar conditions in another location. There may be important soci</w:t>
      </w:r>
      <w:r w:rsidR="00064D33">
        <w:rPr>
          <w:rFonts w:eastAsia="ＭＳ 明朝"/>
          <w:szCs w:val="22"/>
          <w:lang w:eastAsia="ja-JP"/>
        </w:rPr>
        <w:t>et</w:t>
      </w:r>
      <w:r w:rsidR="00DA7479" w:rsidRPr="00DA7479">
        <w:rPr>
          <w:rFonts w:eastAsia="ＭＳ 明朝"/>
          <w:szCs w:val="22"/>
          <w:lang w:eastAsia="ja-JP"/>
        </w:rPr>
        <w:t>al, economic, and environmental context differences in the decisions that will need to be made</w:t>
      </w:r>
      <w:r w:rsidR="00DA7479">
        <w:rPr>
          <w:rFonts w:eastAsia="ＭＳ 明朝"/>
          <w:szCs w:val="22"/>
          <w:lang w:eastAsia="ja-JP"/>
        </w:rPr>
        <w:t>.</w:t>
      </w:r>
      <w:r w:rsidR="00067A42" w:rsidRPr="00AC7C6C">
        <w:rPr>
          <w:rFonts w:eastAsia="ＭＳ 明朝"/>
          <w:szCs w:val="22"/>
          <w:lang w:eastAsia="ja-JP"/>
        </w:rPr>
        <w:t xml:space="preserve"> It is necessary </w:t>
      </w:r>
      <w:r w:rsidR="00067A42" w:rsidRPr="00067A42">
        <w:rPr>
          <w:rFonts w:eastAsia="ＭＳ 明朝"/>
          <w:szCs w:val="22"/>
          <w:lang w:eastAsia="ja-JP"/>
        </w:rPr>
        <w:t>to clarify why actions taken in other circumstances for another site may not be appropriate for the current situation.</w:t>
      </w:r>
    </w:p>
    <w:p w14:paraId="2A285417" w14:textId="30C10769" w:rsidR="008828DE" w:rsidRPr="00E66102" w:rsidRDefault="008828DE" w:rsidP="00754334">
      <w:pPr>
        <w:numPr>
          <w:ilvl w:val="0"/>
          <w:numId w:val="13"/>
        </w:numPr>
        <w:tabs>
          <w:tab w:val="num" w:pos="634"/>
          <w:tab w:val="left" w:pos="851"/>
        </w:tabs>
        <w:ind w:left="0"/>
        <w:jc w:val="both"/>
        <w:rPr>
          <w:rFonts w:eastAsia="ＭＳ 明朝"/>
          <w:lang w:eastAsia="ja-JP"/>
        </w:rPr>
      </w:pPr>
      <w:r w:rsidRPr="00313C15">
        <w:rPr>
          <w:rFonts w:eastAsia="ＭＳ 明朝"/>
          <w:lang w:eastAsia="ja-JP"/>
        </w:rPr>
        <w:t>Adequate planning allows consideration of the factors that may have an impact on the outcome of remediation, such as</w:t>
      </w:r>
      <w:r w:rsidR="006B1E14" w:rsidRPr="00313C15">
        <w:rPr>
          <w:rFonts w:eastAsia="ＭＳ 明朝"/>
          <w:lang w:eastAsia="ja-JP"/>
        </w:rPr>
        <w:t>:</w:t>
      </w:r>
      <w:r w:rsidRPr="00313C15">
        <w:rPr>
          <w:rFonts w:eastAsia="ＭＳ 明朝"/>
          <w:lang w:eastAsia="ja-JP"/>
        </w:rPr>
        <w:t xml:space="preserve"> financial provisions; availability of proven technologies; dose assessment before, during and after remediation; </w:t>
      </w:r>
      <w:r w:rsidR="00905978">
        <w:rPr>
          <w:rFonts w:eastAsia="ＭＳ 明朝"/>
          <w:lang w:eastAsia="ja-JP"/>
        </w:rPr>
        <w:t xml:space="preserve">effects </w:t>
      </w:r>
      <w:r w:rsidRPr="00313C15">
        <w:rPr>
          <w:rFonts w:eastAsia="ＭＳ 明朝"/>
          <w:lang w:eastAsia="ja-JP"/>
        </w:rPr>
        <w:t xml:space="preserve">on the environment; types and amounts of residual material; and generation, </w:t>
      </w:r>
      <w:proofErr w:type="gramStart"/>
      <w:r w:rsidRPr="00313C15">
        <w:rPr>
          <w:rFonts w:eastAsia="ＭＳ 明朝"/>
          <w:lang w:eastAsia="ja-JP"/>
        </w:rPr>
        <w:t>transport</w:t>
      </w:r>
      <w:proofErr w:type="gramEnd"/>
      <w:r w:rsidRPr="00313C15">
        <w:rPr>
          <w:rFonts w:eastAsia="ＭＳ 明朝"/>
          <w:lang w:eastAsia="ja-JP"/>
        </w:rPr>
        <w:t xml:space="preserve"> and disposal of waste</w:t>
      </w:r>
      <w:r w:rsidRPr="00E66102">
        <w:rPr>
          <w:rFonts w:eastAsia="ＭＳ 明朝"/>
          <w:lang w:eastAsia="ja-JP"/>
        </w:rPr>
        <w:t>.</w:t>
      </w:r>
      <w:r w:rsidR="00E66102" w:rsidRPr="00E66102">
        <w:rPr>
          <w:rFonts w:eastAsia="ＭＳ 明朝"/>
          <w:lang w:eastAsia="ja-JP"/>
        </w:rPr>
        <w:t xml:space="preserve"> The approach to address radiological, and other safety aspects, including the assessment of stakeholder values, should be clearly described, as an important step in building confidence in the </w:t>
      </w:r>
      <w:r w:rsidR="007617B8">
        <w:rPr>
          <w:rFonts w:eastAsia="ＭＳ 明朝"/>
          <w:lang w:eastAsia="ja-JP"/>
        </w:rPr>
        <w:t xml:space="preserve">safety assessment </w:t>
      </w:r>
      <w:r w:rsidR="00E66102" w:rsidRPr="00E66102">
        <w:rPr>
          <w:rFonts w:eastAsia="ＭＳ 明朝"/>
          <w:lang w:eastAsia="ja-JP"/>
        </w:rPr>
        <w:t>results that will support decisions. These assessments will need to include an evaluation of the potential risks to the public, workers and the environment</w:t>
      </w:r>
      <w:r w:rsidR="001E1AA5">
        <w:rPr>
          <w:rFonts w:eastAsia="ＭＳ 明朝"/>
          <w:lang w:eastAsia="ja-JP"/>
        </w:rPr>
        <w:t xml:space="preserve"> </w:t>
      </w:r>
      <w:r w:rsidR="00DB175F">
        <w:rPr>
          <w:rFonts w:eastAsia="ＭＳ 明朝"/>
          <w:lang w:eastAsia="ja-JP"/>
        </w:rPr>
        <w:t>from</w:t>
      </w:r>
      <w:r w:rsidR="00E66102" w:rsidRPr="00E66102">
        <w:rPr>
          <w:rFonts w:eastAsia="ＭＳ 明朝"/>
          <w:lang w:eastAsia="ja-JP"/>
        </w:rPr>
        <w:t xml:space="preserve"> the site and its immediate </w:t>
      </w:r>
      <w:r w:rsidR="00815913" w:rsidRPr="00E66102">
        <w:rPr>
          <w:rFonts w:eastAsia="ＭＳ 明朝"/>
          <w:lang w:eastAsia="ja-JP"/>
        </w:rPr>
        <w:t>surroundings</w:t>
      </w:r>
      <w:r w:rsidR="00815913">
        <w:rPr>
          <w:rFonts w:eastAsia="ＭＳ 明朝"/>
          <w:lang w:eastAsia="ja-JP"/>
        </w:rPr>
        <w:t xml:space="preserve"> </w:t>
      </w:r>
      <w:r w:rsidR="00815913" w:rsidRPr="00E66102">
        <w:rPr>
          <w:rFonts w:eastAsia="ＭＳ 明朝"/>
          <w:lang w:eastAsia="ja-JP"/>
        </w:rPr>
        <w:t>and</w:t>
      </w:r>
      <w:r w:rsidR="00E66102" w:rsidRPr="00E66102">
        <w:rPr>
          <w:rFonts w:eastAsia="ＭＳ 明朝"/>
          <w:lang w:eastAsia="ja-JP"/>
        </w:rPr>
        <w:t xml:space="preserve"> includ</w:t>
      </w:r>
      <w:r w:rsidR="001C16E6">
        <w:rPr>
          <w:rFonts w:eastAsia="ＭＳ 明朝"/>
          <w:lang w:eastAsia="ja-JP"/>
        </w:rPr>
        <w:t xml:space="preserve">e risks arising from </w:t>
      </w:r>
      <w:r w:rsidR="00E66102" w:rsidRPr="00E66102">
        <w:rPr>
          <w:rFonts w:eastAsia="ＭＳ 明朝"/>
          <w:lang w:eastAsia="ja-JP"/>
        </w:rPr>
        <w:t>any on-site and off-site waste management</w:t>
      </w:r>
      <w:r w:rsidR="00C9503C">
        <w:rPr>
          <w:rFonts w:eastAsia="ＭＳ 明朝"/>
          <w:lang w:eastAsia="ja-JP"/>
        </w:rPr>
        <w:t xml:space="preserve"> activities</w:t>
      </w:r>
      <w:r w:rsidR="00E66102" w:rsidRPr="00E66102">
        <w:rPr>
          <w:rFonts w:eastAsia="ＭＳ 明朝"/>
          <w:lang w:eastAsia="ja-JP"/>
        </w:rPr>
        <w:t>.</w:t>
      </w:r>
    </w:p>
    <w:p w14:paraId="682EB9CA" w14:textId="1388E33A" w:rsidR="00CD5874" w:rsidRDefault="008828DE" w:rsidP="00754334">
      <w:pPr>
        <w:numPr>
          <w:ilvl w:val="0"/>
          <w:numId w:val="13"/>
        </w:numPr>
        <w:tabs>
          <w:tab w:val="num" w:pos="634"/>
          <w:tab w:val="left" w:pos="851"/>
        </w:tabs>
        <w:ind w:left="0"/>
        <w:jc w:val="both"/>
        <w:rPr>
          <w:rFonts w:eastAsia="ＭＳ 明朝"/>
          <w:szCs w:val="22"/>
          <w:lang w:eastAsia="ja-JP"/>
        </w:rPr>
      </w:pPr>
      <w:r w:rsidRPr="00676015">
        <w:rPr>
          <w:rFonts w:eastAsia="ＭＳ 明朝"/>
          <w:szCs w:val="22"/>
          <w:lang w:eastAsia="ja-JP"/>
        </w:rPr>
        <w:t xml:space="preserve">The remediation options should be clearly described in a document in which </w:t>
      </w:r>
      <w:r w:rsidR="00215F0E">
        <w:rPr>
          <w:rFonts w:eastAsia="ＭＳ 明朝"/>
          <w:szCs w:val="22"/>
          <w:lang w:eastAsia="ja-JP"/>
        </w:rPr>
        <w:t xml:space="preserve">the </w:t>
      </w:r>
      <w:r w:rsidRPr="00676015">
        <w:rPr>
          <w:rFonts w:eastAsia="ＭＳ 明朝"/>
          <w:szCs w:val="22"/>
          <w:lang w:eastAsia="ja-JP"/>
        </w:rPr>
        <w:t>benefits and disadvantages of the different options are presented. Once an option has been selected, a site-specific remedial action plan should be prepared, detailing the remedia</w:t>
      </w:r>
      <w:r w:rsidR="00AE044C" w:rsidRPr="00676015">
        <w:rPr>
          <w:rFonts w:eastAsia="ＭＳ 明朝"/>
          <w:szCs w:val="22"/>
          <w:lang w:eastAsia="ja-JP"/>
        </w:rPr>
        <w:t>l</w:t>
      </w:r>
      <w:r w:rsidRPr="00676015">
        <w:rPr>
          <w:rFonts w:eastAsia="ＭＳ 明朝"/>
          <w:szCs w:val="22"/>
          <w:lang w:eastAsia="ja-JP"/>
        </w:rPr>
        <w:t xml:space="preserve"> actions </w:t>
      </w:r>
      <w:proofErr w:type="gramStart"/>
      <w:r w:rsidR="00A802A3">
        <w:rPr>
          <w:rFonts w:eastAsia="ＭＳ 明朝"/>
          <w:szCs w:val="22"/>
          <w:lang w:eastAsia="ja-JP"/>
        </w:rPr>
        <w:t>and</w:t>
      </w:r>
      <w:r w:rsidR="00150C7E">
        <w:rPr>
          <w:rFonts w:eastAsia="ＭＳ 明朝"/>
          <w:szCs w:val="22"/>
          <w:lang w:eastAsia="ja-JP"/>
        </w:rPr>
        <w:t>,</w:t>
      </w:r>
      <w:proofErr w:type="gramEnd"/>
      <w:r w:rsidR="00150C7E">
        <w:rPr>
          <w:rFonts w:eastAsia="ＭＳ 明朝"/>
          <w:szCs w:val="22"/>
          <w:lang w:eastAsia="ja-JP"/>
        </w:rPr>
        <w:t xml:space="preserve"> as required, </w:t>
      </w:r>
      <w:r w:rsidRPr="00676015">
        <w:rPr>
          <w:rFonts w:eastAsia="ＭＳ 明朝"/>
          <w:szCs w:val="22"/>
          <w:lang w:eastAsia="ja-JP"/>
        </w:rPr>
        <w:t>the post-remediation actions such as medium- or long-term monitoring, surveillance</w:t>
      </w:r>
      <w:r w:rsidR="00150C7E">
        <w:rPr>
          <w:rFonts w:eastAsia="ＭＳ 明朝"/>
          <w:szCs w:val="22"/>
          <w:lang w:eastAsia="ja-JP"/>
        </w:rPr>
        <w:t>,</w:t>
      </w:r>
      <w:r w:rsidRPr="00676015">
        <w:rPr>
          <w:rFonts w:eastAsia="ＭＳ 明朝"/>
          <w:szCs w:val="22"/>
          <w:lang w:eastAsia="ja-JP"/>
        </w:rPr>
        <w:t xml:space="preserve"> and institutional control.</w:t>
      </w:r>
    </w:p>
    <w:p w14:paraId="0581F074" w14:textId="77777777" w:rsidR="00CD5874" w:rsidRDefault="00CD5874">
      <w:pPr>
        <w:rPr>
          <w:rFonts w:eastAsia="ＭＳ 明朝"/>
          <w:szCs w:val="22"/>
          <w:lang w:eastAsia="ja-JP"/>
        </w:rPr>
      </w:pPr>
      <w:r>
        <w:rPr>
          <w:rFonts w:eastAsia="ＭＳ 明朝"/>
          <w:szCs w:val="22"/>
          <w:lang w:eastAsia="ja-JP"/>
        </w:rPr>
        <w:br w:type="page"/>
      </w:r>
    </w:p>
    <w:p w14:paraId="639A6681" w14:textId="10BB8C7D" w:rsidR="008828DE" w:rsidRPr="00D4395F" w:rsidRDefault="008828DE" w:rsidP="00D4395F">
      <w:pPr>
        <w:pStyle w:val="afa"/>
        <w:numPr>
          <w:ilvl w:val="2"/>
          <w:numId w:val="42"/>
        </w:numPr>
        <w:tabs>
          <w:tab w:val="left" w:pos="709"/>
        </w:tabs>
        <w:spacing w:before="240" w:after="240"/>
        <w:outlineLvl w:val="2"/>
        <w:rPr>
          <w:rFonts w:ascii="Times New Roman" w:hAnsi="Times New Roman"/>
          <w:b/>
          <w:bCs/>
          <w:sz w:val="24"/>
          <w:szCs w:val="24"/>
        </w:rPr>
      </w:pPr>
      <w:bookmarkStart w:id="75" w:name="_Toc117873839"/>
      <w:bookmarkStart w:id="76" w:name="_Toc159175958"/>
      <w:bookmarkStart w:id="77" w:name="_Toc159397478"/>
      <w:r w:rsidRPr="00D4395F">
        <w:rPr>
          <w:rFonts w:ascii="Times New Roman" w:hAnsi="Times New Roman"/>
          <w:b/>
          <w:bCs/>
          <w:sz w:val="24"/>
          <w:szCs w:val="24"/>
        </w:rPr>
        <w:lastRenderedPageBreak/>
        <w:t>Protecting the public</w:t>
      </w:r>
      <w:bookmarkEnd w:id="75"/>
      <w:bookmarkEnd w:id="76"/>
      <w:bookmarkEnd w:id="77"/>
    </w:p>
    <w:p w14:paraId="355B40D3" w14:textId="39DD61EE" w:rsidR="008828DE" w:rsidRPr="008828DE" w:rsidRDefault="008828DE" w:rsidP="00AC7C6C">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Remediation planning involves </w:t>
      </w:r>
      <w:r w:rsidR="0082702A">
        <w:rPr>
          <w:rFonts w:eastAsia="ＭＳ 明朝"/>
          <w:szCs w:val="22"/>
          <w:lang w:eastAsia="ja-JP"/>
        </w:rPr>
        <w:t xml:space="preserve">establishing </w:t>
      </w:r>
      <w:r w:rsidRPr="008828DE">
        <w:rPr>
          <w:rFonts w:eastAsia="ＭＳ 明朝"/>
          <w:szCs w:val="22"/>
          <w:lang w:eastAsia="ja-JP"/>
        </w:rPr>
        <w:t xml:space="preserve">a reference level to protect members of the public. The reference level is determined on a case-by-case basis and should not be considered as the endpoint of the remediation process. The endpoint should be an optimised dose below the reference </w:t>
      </w:r>
      <w:r w:rsidR="00EC3069" w:rsidRPr="008828DE">
        <w:rPr>
          <w:rFonts w:eastAsia="ＭＳ 明朝"/>
          <w:szCs w:val="22"/>
          <w:lang w:eastAsia="ja-JP"/>
        </w:rPr>
        <w:t>level that</w:t>
      </w:r>
      <w:r w:rsidRPr="008828DE">
        <w:rPr>
          <w:rFonts w:eastAsia="ＭＳ 明朝"/>
          <w:szCs w:val="22"/>
          <w:lang w:eastAsia="ja-JP"/>
        </w:rPr>
        <w:t xml:space="preserve"> accounts for the possible future uses of the area and associated restrictions (if any). Reference levels are not dose limits.</w:t>
      </w:r>
    </w:p>
    <w:p w14:paraId="08D2AFF4" w14:textId="39738065" w:rsidR="008828DE" w:rsidRPr="007F5DBE" w:rsidRDefault="008828DE" w:rsidP="00AC7C6C">
      <w:pPr>
        <w:numPr>
          <w:ilvl w:val="0"/>
          <w:numId w:val="13"/>
        </w:numPr>
        <w:tabs>
          <w:tab w:val="num" w:pos="634"/>
          <w:tab w:val="left" w:pos="851"/>
        </w:tabs>
        <w:ind w:left="0"/>
        <w:jc w:val="both"/>
        <w:rPr>
          <w:rFonts w:eastAsia="ＭＳ 明朝"/>
          <w:szCs w:val="22"/>
          <w:lang w:eastAsia="ja-JP"/>
        </w:rPr>
      </w:pPr>
      <w:r w:rsidRPr="007F5DBE">
        <w:rPr>
          <w:rFonts w:eastAsia="ＭＳ 明朝"/>
          <w:szCs w:val="22"/>
          <w:lang w:eastAsia="ja-JP"/>
        </w:rPr>
        <w:t xml:space="preserve">Factors to be considered for setting the reference levels for </w:t>
      </w:r>
      <w:r w:rsidR="009A4461">
        <w:rPr>
          <w:rFonts w:eastAsia="ＭＳ 明朝"/>
          <w:szCs w:val="22"/>
          <w:lang w:eastAsia="ja-JP"/>
        </w:rPr>
        <w:t xml:space="preserve">remediation of </w:t>
      </w:r>
      <w:r w:rsidRPr="007F5DBE">
        <w:rPr>
          <w:rFonts w:eastAsia="ＭＳ 明朝"/>
          <w:szCs w:val="22"/>
          <w:lang w:eastAsia="ja-JP"/>
        </w:rPr>
        <w:t>existing exposure situations include</w:t>
      </w:r>
      <w:r w:rsidR="00341F0F" w:rsidRPr="007F5DBE">
        <w:rPr>
          <w:rFonts w:eastAsia="ＭＳ 明朝"/>
          <w:szCs w:val="22"/>
          <w:lang w:eastAsia="ja-JP"/>
        </w:rPr>
        <w:t xml:space="preserve"> (but are not limited to)</w:t>
      </w:r>
      <w:r w:rsidRPr="007F5DBE">
        <w:rPr>
          <w:rFonts w:eastAsia="ＭＳ 明朝"/>
          <w:szCs w:val="22"/>
          <w:lang w:eastAsia="ja-JP"/>
        </w:rPr>
        <w:t xml:space="preserve"> the feasibility of controlling the situation</w:t>
      </w:r>
      <w:r w:rsidR="007F5DBE">
        <w:rPr>
          <w:rFonts w:eastAsia="ＭＳ 明朝"/>
          <w:szCs w:val="22"/>
          <w:lang w:eastAsia="ja-JP"/>
        </w:rPr>
        <w:t>,</w:t>
      </w:r>
      <w:r w:rsidRPr="007F5DBE">
        <w:rPr>
          <w:rFonts w:eastAsia="ＭＳ 明朝"/>
          <w:szCs w:val="22"/>
          <w:lang w:eastAsia="ja-JP"/>
        </w:rPr>
        <w:t xml:space="preserve"> </w:t>
      </w:r>
      <w:r w:rsidR="007F5DBE" w:rsidRPr="007F5DBE">
        <w:rPr>
          <w:rFonts w:eastAsia="ＭＳ 明朝"/>
          <w:szCs w:val="22"/>
          <w:lang w:eastAsia="ja-JP"/>
        </w:rPr>
        <w:t xml:space="preserve">time and cost for remediation, the potential volume of </w:t>
      </w:r>
      <w:r w:rsidR="007F5DBE">
        <w:rPr>
          <w:rFonts w:eastAsia="ＭＳ 明朝"/>
          <w:szCs w:val="22"/>
          <w:lang w:eastAsia="ja-JP"/>
        </w:rPr>
        <w:t>residual material</w:t>
      </w:r>
      <w:r w:rsidR="007F5DBE" w:rsidRPr="007F5DBE">
        <w:rPr>
          <w:rFonts w:eastAsia="ＭＳ 明朝"/>
          <w:szCs w:val="22"/>
          <w:lang w:eastAsia="ja-JP"/>
        </w:rPr>
        <w:t xml:space="preserve">/waste that could be </w:t>
      </w:r>
      <w:r w:rsidR="005D6376">
        <w:rPr>
          <w:rFonts w:eastAsia="ＭＳ 明朝"/>
          <w:szCs w:val="22"/>
          <w:lang w:eastAsia="ja-JP"/>
        </w:rPr>
        <w:t>generat</w:t>
      </w:r>
      <w:r w:rsidR="007F5DBE" w:rsidRPr="007F5DBE">
        <w:rPr>
          <w:rFonts w:eastAsia="ＭＳ 明朝"/>
          <w:szCs w:val="22"/>
          <w:lang w:eastAsia="ja-JP"/>
        </w:rPr>
        <w:t>ed</w:t>
      </w:r>
      <w:r w:rsidR="007F5DBE">
        <w:rPr>
          <w:rFonts w:eastAsia="ＭＳ 明朝"/>
          <w:szCs w:val="22"/>
          <w:lang w:eastAsia="ja-JP"/>
        </w:rPr>
        <w:t>,</w:t>
      </w:r>
      <w:r w:rsidR="007F5DBE" w:rsidRPr="007F5DBE">
        <w:rPr>
          <w:rFonts w:eastAsia="ＭＳ 明朝"/>
          <w:szCs w:val="22"/>
          <w:lang w:eastAsia="ja-JP"/>
        </w:rPr>
        <w:t xml:space="preserve"> the impact </w:t>
      </w:r>
      <w:r w:rsidR="007F5DBE">
        <w:rPr>
          <w:rFonts w:eastAsia="ＭＳ 明朝"/>
          <w:szCs w:val="22"/>
          <w:lang w:eastAsia="ja-JP"/>
        </w:rPr>
        <w:t xml:space="preserve">on the </w:t>
      </w:r>
      <w:r w:rsidR="007F5DBE" w:rsidRPr="007F5DBE">
        <w:rPr>
          <w:rFonts w:eastAsia="ＭＳ 明朝"/>
          <w:szCs w:val="22"/>
          <w:lang w:eastAsia="ja-JP"/>
        </w:rPr>
        <w:t>environment</w:t>
      </w:r>
      <w:r w:rsidR="00C11816">
        <w:rPr>
          <w:rFonts w:eastAsia="ＭＳ 明朝"/>
          <w:szCs w:val="22"/>
          <w:lang w:eastAsia="ja-JP"/>
        </w:rPr>
        <w:t>,</w:t>
      </w:r>
      <w:r w:rsidR="00C11816" w:rsidRPr="00AC7C6C">
        <w:rPr>
          <w:rFonts w:eastAsia="ＭＳ 明朝"/>
          <w:szCs w:val="22"/>
          <w:lang w:eastAsia="ja-JP"/>
        </w:rPr>
        <w:t xml:space="preserve"> </w:t>
      </w:r>
      <w:r w:rsidR="00C11816" w:rsidRPr="00C11816">
        <w:rPr>
          <w:rFonts w:eastAsia="ＭＳ 明朝"/>
          <w:szCs w:val="22"/>
          <w:lang w:eastAsia="ja-JP"/>
        </w:rPr>
        <w:t>societal disruption that would be produced through remediation</w:t>
      </w:r>
      <w:r w:rsidR="00F540B8">
        <w:rPr>
          <w:rFonts w:eastAsia="ＭＳ 明朝"/>
          <w:szCs w:val="22"/>
          <w:lang w:eastAsia="ja-JP"/>
        </w:rPr>
        <w:t>,</w:t>
      </w:r>
      <w:r w:rsidR="00C11816">
        <w:rPr>
          <w:rFonts w:eastAsia="ＭＳ 明朝"/>
          <w:szCs w:val="22"/>
          <w:lang w:eastAsia="ja-JP"/>
        </w:rPr>
        <w:t xml:space="preserve"> </w:t>
      </w:r>
      <w:r w:rsidR="00C11816" w:rsidRPr="007F5DBE">
        <w:rPr>
          <w:rFonts w:eastAsia="ＭＳ 明朝"/>
          <w:szCs w:val="22"/>
          <w:lang w:eastAsia="ja-JP"/>
        </w:rPr>
        <w:t>and</w:t>
      </w:r>
      <w:r w:rsidRPr="007F5DBE">
        <w:rPr>
          <w:rFonts w:eastAsia="ＭＳ 明朝"/>
          <w:szCs w:val="22"/>
          <w:lang w:eastAsia="ja-JP"/>
        </w:rPr>
        <w:t xml:space="preserve"> experience in the management of similar situations. There may be a desire from the exposed individuals, as well as from the authorities and other stakeholders, to reduce exposures to levels that are </w:t>
      </w:r>
      <w:proofErr w:type="gramStart"/>
      <w:r w:rsidRPr="007F5DBE">
        <w:rPr>
          <w:rFonts w:eastAsia="ＭＳ 明朝"/>
          <w:szCs w:val="22"/>
          <w:lang w:eastAsia="ja-JP"/>
        </w:rPr>
        <w:t>similar to</w:t>
      </w:r>
      <w:proofErr w:type="gramEnd"/>
      <w:r w:rsidRPr="007F5DBE">
        <w:rPr>
          <w:rFonts w:eastAsia="ＭＳ 明朝"/>
          <w:szCs w:val="22"/>
          <w:lang w:eastAsia="ja-JP"/>
        </w:rPr>
        <w:t xml:space="preserve"> situations considered as ‘normal’ (ICRP, 2007). </w:t>
      </w:r>
      <w:r w:rsidR="00F30AA6" w:rsidRPr="00F30AA6">
        <w:rPr>
          <w:rFonts w:eastAsia="ＭＳ 明朝"/>
          <w:szCs w:val="22"/>
          <w:lang w:eastAsia="ja-JP"/>
        </w:rPr>
        <w:t xml:space="preserve">Although complete removal of the source of exposure may be listed among the options, it is often either not feasible or the best option overall. </w:t>
      </w:r>
      <w:r w:rsidR="00F30AA6">
        <w:rPr>
          <w:rFonts w:eastAsia="ＭＳ 明朝"/>
          <w:szCs w:val="22"/>
          <w:lang w:eastAsia="ja-JP"/>
        </w:rPr>
        <w:t>O</w:t>
      </w:r>
      <w:r w:rsidRPr="007F5DBE">
        <w:rPr>
          <w:rFonts w:eastAsia="ＭＳ 明朝"/>
          <w:szCs w:val="22"/>
          <w:lang w:eastAsia="ja-JP"/>
        </w:rPr>
        <w:t>ptimisation of protection is not minimisation of dose nor the minimisation of any single attribute. More broadly, minimis</w:t>
      </w:r>
      <w:r w:rsidR="002B08E3">
        <w:rPr>
          <w:rFonts w:eastAsia="ＭＳ 明朝"/>
          <w:szCs w:val="22"/>
          <w:lang w:eastAsia="ja-JP"/>
        </w:rPr>
        <w:t>ing</w:t>
      </w:r>
      <w:r w:rsidRPr="007F5DBE">
        <w:rPr>
          <w:rFonts w:eastAsia="ＭＳ 明朝"/>
          <w:szCs w:val="22"/>
          <w:lang w:eastAsia="ja-JP"/>
        </w:rPr>
        <w:t xml:space="preserve"> one detrimental impact is likely to result in </w:t>
      </w:r>
      <w:r w:rsidR="005913D6">
        <w:rPr>
          <w:rFonts w:eastAsia="ＭＳ 明朝"/>
          <w:szCs w:val="22"/>
          <w:lang w:eastAsia="ja-JP"/>
        </w:rPr>
        <w:t xml:space="preserve">other </w:t>
      </w:r>
      <w:r w:rsidRPr="007F5DBE">
        <w:rPr>
          <w:rFonts w:eastAsia="ＭＳ 明朝"/>
          <w:szCs w:val="22"/>
          <w:lang w:eastAsia="ja-JP"/>
        </w:rPr>
        <w:t>detrimental aspects not being minimised to the same extent</w:t>
      </w:r>
      <w:r w:rsidR="007F5DBE">
        <w:rPr>
          <w:rFonts w:eastAsia="ＭＳ 明朝"/>
          <w:szCs w:val="22"/>
          <w:lang w:eastAsia="ja-JP"/>
        </w:rPr>
        <w:t>.</w:t>
      </w:r>
      <w:r w:rsidR="007F5DBE" w:rsidRPr="007F5DBE">
        <w:rPr>
          <w:rFonts w:eastAsia="ＭＳ 明朝"/>
          <w:szCs w:val="22"/>
          <w:lang w:eastAsia="ja-JP"/>
        </w:rPr>
        <w:t xml:space="preserve"> </w:t>
      </w:r>
      <w:r w:rsidR="007F5DBE">
        <w:rPr>
          <w:rFonts w:eastAsia="ＭＳ 明朝"/>
          <w:szCs w:val="22"/>
          <w:lang w:eastAsia="ja-JP"/>
        </w:rPr>
        <w:t>For example, o</w:t>
      </w:r>
      <w:r w:rsidRPr="007F5DBE">
        <w:rPr>
          <w:rFonts w:eastAsia="ＭＳ 明朝"/>
          <w:szCs w:val="22"/>
          <w:lang w:eastAsia="ja-JP"/>
        </w:rPr>
        <w:t>ptimised protection is the result of an evaluation</w:t>
      </w:r>
      <w:r w:rsidR="005913D6">
        <w:rPr>
          <w:rFonts w:eastAsia="ＭＳ 明朝"/>
          <w:szCs w:val="22"/>
          <w:lang w:eastAsia="ja-JP"/>
        </w:rPr>
        <w:t xml:space="preserve"> that</w:t>
      </w:r>
      <w:r w:rsidRPr="007F5DBE">
        <w:rPr>
          <w:rFonts w:eastAsia="ＭＳ 明朝"/>
          <w:szCs w:val="22"/>
          <w:lang w:eastAsia="ja-JP"/>
        </w:rPr>
        <w:t xml:space="preserve"> carefully balances the detriment of the exposure and the resources available for the protection of individuals, also </w:t>
      </w:r>
      <w:proofErr w:type="gramStart"/>
      <w:r w:rsidRPr="007F5DBE">
        <w:rPr>
          <w:rFonts w:eastAsia="ＭＳ 明朝"/>
          <w:szCs w:val="22"/>
          <w:lang w:eastAsia="ja-JP"/>
        </w:rPr>
        <w:t xml:space="preserve">taking </w:t>
      </w:r>
      <w:r w:rsidR="00D06EEB">
        <w:rPr>
          <w:rFonts w:eastAsia="ＭＳ 明朝"/>
          <w:szCs w:val="22"/>
          <w:lang w:eastAsia="ja-JP"/>
        </w:rPr>
        <w:t xml:space="preserve">into </w:t>
      </w:r>
      <w:r w:rsidRPr="007F5DBE">
        <w:rPr>
          <w:rFonts w:eastAsia="ＭＳ 明朝"/>
          <w:szCs w:val="22"/>
          <w:lang w:eastAsia="ja-JP"/>
        </w:rPr>
        <w:t>account</w:t>
      </w:r>
      <w:proofErr w:type="gramEnd"/>
      <w:r w:rsidRPr="007F5DBE">
        <w:rPr>
          <w:rFonts w:eastAsia="ＭＳ 明朝"/>
          <w:szCs w:val="22"/>
          <w:lang w:eastAsia="ja-JP"/>
        </w:rPr>
        <w:t xml:space="preserve"> </w:t>
      </w:r>
      <w:r w:rsidR="005A03E9">
        <w:rPr>
          <w:rFonts w:eastAsia="ＭＳ 明朝"/>
          <w:szCs w:val="22"/>
          <w:lang w:eastAsia="ja-JP"/>
        </w:rPr>
        <w:t>t</w:t>
      </w:r>
      <w:r w:rsidRPr="007F5DBE">
        <w:rPr>
          <w:rFonts w:eastAsia="ＭＳ 明朝"/>
          <w:szCs w:val="22"/>
          <w:lang w:eastAsia="ja-JP"/>
        </w:rPr>
        <w:t>he number of individuals exposed. The most appropriate option may not be the one resulting in the lowest dose (ICRP, 2007).</w:t>
      </w:r>
    </w:p>
    <w:p w14:paraId="15B4DA31" w14:textId="77777777" w:rsidR="008828DE" w:rsidRPr="008828DE" w:rsidRDefault="008828DE" w:rsidP="00AC7C6C">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Members of the public may be exposed because their place of </w:t>
      </w:r>
      <w:r w:rsidR="00C666EA">
        <w:rPr>
          <w:rFonts w:eastAsia="ＭＳ 明朝"/>
          <w:szCs w:val="22"/>
          <w:lang w:eastAsia="ja-JP"/>
        </w:rPr>
        <w:t>work</w:t>
      </w:r>
      <w:r w:rsidR="00C666EA" w:rsidRPr="008828DE">
        <w:rPr>
          <w:rFonts w:eastAsia="ＭＳ 明朝"/>
          <w:szCs w:val="22"/>
          <w:lang w:eastAsia="ja-JP"/>
        </w:rPr>
        <w:t xml:space="preserve"> </w:t>
      </w:r>
      <w:proofErr w:type="gramStart"/>
      <w:r w:rsidRPr="008828DE">
        <w:rPr>
          <w:rFonts w:eastAsia="ＭＳ 明朝"/>
          <w:szCs w:val="22"/>
          <w:lang w:eastAsia="ja-JP"/>
        </w:rPr>
        <w:t>is located in</w:t>
      </w:r>
      <w:proofErr w:type="gramEnd"/>
      <w:r w:rsidRPr="008828DE">
        <w:rPr>
          <w:rFonts w:eastAsia="ＭＳ 明朝"/>
          <w:szCs w:val="22"/>
          <w:lang w:eastAsia="ja-JP"/>
        </w:rPr>
        <w:t xml:space="preserve"> a contaminated area. The Commission consider</w:t>
      </w:r>
      <w:r w:rsidR="006B1E14">
        <w:rPr>
          <w:rFonts w:eastAsia="ＭＳ 明朝"/>
          <w:szCs w:val="22"/>
          <w:lang w:eastAsia="ja-JP"/>
        </w:rPr>
        <w:t>s</w:t>
      </w:r>
      <w:r w:rsidRPr="008828DE">
        <w:rPr>
          <w:rFonts w:eastAsia="ＭＳ 明朝"/>
          <w:szCs w:val="22"/>
          <w:lang w:eastAsia="ja-JP"/>
        </w:rPr>
        <w:t xml:space="preserve"> these exposures as public exposures.</w:t>
      </w:r>
    </w:p>
    <w:p w14:paraId="56234644" w14:textId="4706683E" w:rsidR="008828DE" w:rsidRPr="008828DE" w:rsidRDefault="008828DE" w:rsidP="00AC7C6C">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Based on the characteristics of the situation, the Commission recommends that an appropriate reference level should be selected in the lower half of the 1 to 20 mSv</w:t>
      </w:r>
      <w:r w:rsidR="00F46D06">
        <w:rPr>
          <w:rFonts w:eastAsia="ＭＳ 明朝"/>
          <w:szCs w:val="22"/>
          <w:lang w:eastAsia="ja-JP"/>
        </w:rPr>
        <w:t xml:space="preserve"> </w:t>
      </w:r>
      <w:r w:rsidRPr="008828DE">
        <w:rPr>
          <w:rFonts w:eastAsia="ＭＳ 明朝"/>
          <w:szCs w:val="22"/>
          <w:lang w:eastAsia="ja-JP"/>
        </w:rPr>
        <w:t>y</w:t>
      </w:r>
      <w:r w:rsidR="00F46D06">
        <w:rPr>
          <w:rFonts w:eastAsia="ＭＳ 明朝"/>
          <w:szCs w:val="22"/>
          <w:lang w:eastAsia="ja-JP"/>
        </w:rPr>
        <w:t>ear</w:t>
      </w:r>
      <w:r w:rsidR="00F46D06" w:rsidRPr="00F46D06">
        <w:rPr>
          <w:rFonts w:eastAsia="ＭＳ 明朝"/>
          <w:szCs w:val="22"/>
          <w:vertAlign w:val="superscript"/>
          <w:lang w:eastAsia="ja-JP"/>
        </w:rPr>
        <w:t>−1</w:t>
      </w:r>
      <w:r w:rsidRPr="008828DE">
        <w:rPr>
          <w:rFonts w:eastAsia="ＭＳ 明朝"/>
          <w:szCs w:val="22"/>
          <w:lang w:eastAsia="ja-JP"/>
        </w:rPr>
        <w:t xml:space="preserve"> band, with the long-term objective </w:t>
      </w:r>
      <w:r w:rsidR="00F01798">
        <w:rPr>
          <w:rFonts w:eastAsia="ＭＳ 明朝"/>
          <w:szCs w:val="22"/>
          <w:lang w:eastAsia="ja-JP"/>
        </w:rPr>
        <w:t>of</w:t>
      </w:r>
      <w:r w:rsidRPr="008828DE">
        <w:rPr>
          <w:rFonts w:eastAsia="ＭＳ 明朝"/>
          <w:szCs w:val="22"/>
          <w:lang w:eastAsia="ja-JP"/>
        </w:rPr>
        <w:t xml:space="preserve"> progressively reduc</w:t>
      </w:r>
      <w:r w:rsidR="00F01798">
        <w:rPr>
          <w:rFonts w:eastAsia="ＭＳ 明朝"/>
          <w:szCs w:val="22"/>
          <w:lang w:eastAsia="ja-JP"/>
        </w:rPr>
        <w:t>ing</w:t>
      </w:r>
      <w:r w:rsidRPr="008828DE">
        <w:rPr>
          <w:rFonts w:eastAsia="ＭＳ 明朝"/>
          <w:szCs w:val="22"/>
          <w:lang w:eastAsia="ja-JP"/>
        </w:rPr>
        <w:t xml:space="preserve"> exposure close to 1 mSv</w:t>
      </w:r>
      <w:r w:rsidR="00F46D06">
        <w:rPr>
          <w:rFonts w:eastAsia="ＭＳ 明朝"/>
          <w:szCs w:val="22"/>
          <w:lang w:eastAsia="ja-JP"/>
        </w:rPr>
        <w:t xml:space="preserve"> </w:t>
      </w:r>
      <w:r w:rsidRPr="008828DE">
        <w:rPr>
          <w:rFonts w:eastAsia="ＭＳ 明朝"/>
          <w:szCs w:val="22"/>
          <w:lang w:eastAsia="ja-JP"/>
        </w:rPr>
        <w:t>y</w:t>
      </w:r>
      <w:r w:rsidR="00F46D06">
        <w:rPr>
          <w:rFonts w:eastAsia="ＭＳ 明朝"/>
          <w:szCs w:val="22"/>
          <w:lang w:eastAsia="ja-JP"/>
        </w:rPr>
        <w:t>ear</w:t>
      </w:r>
      <w:r w:rsidR="00F46D06" w:rsidRPr="00F46D06">
        <w:rPr>
          <w:rFonts w:eastAsia="ＭＳ 明朝"/>
          <w:szCs w:val="22"/>
          <w:vertAlign w:val="superscript"/>
          <w:lang w:eastAsia="ja-JP"/>
        </w:rPr>
        <w:t>−1</w:t>
      </w:r>
      <w:r w:rsidR="00F30AA6" w:rsidRPr="00F30AA6">
        <w:rPr>
          <w:rFonts w:eastAsia="ＭＳ 明朝"/>
          <w:szCs w:val="22"/>
          <w:lang w:eastAsia="ja-JP"/>
        </w:rPr>
        <w:t>.</w:t>
      </w:r>
    </w:p>
    <w:p w14:paraId="224B8EF3" w14:textId="5BD9F115" w:rsidR="00341F0F" w:rsidRPr="004D4B6E" w:rsidRDefault="007818DD" w:rsidP="00AC7C6C">
      <w:pPr>
        <w:numPr>
          <w:ilvl w:val="0"/>
          <w:numId w:val="13"/>
        </w:numPr>
        <w:tabs>
          <w:tab w:val="num" w:pos="634"/>
          <w:tab w:val="left" w:pos="851"/>
        </w:tabs>
        <w:ind w:left="0"/>
        <w:jc w:val="both"/>
        <w:rPr>
          <w:rFonts w:eastAsia="ＭＳ 明朝"/>
          <w:szCs w:val="22"/>
          <w:lang w:eastAsia="ja-JP"/>
        </w:rPr>
      </w:pPr>
      <w:bookmarkStart w:id="78" w:name="_Hlk127895877"/>
      <w:r w:rsidRPr="001E7F74">
        <w:t>When it is determined that a contaminated area requires remediation, the remediation organisation, or a liable party, should optimise protection below a predetermined reference level</w:t>
      </w:r>
      <w:r w:rsidR="004D4B6E" w:rsidRPr="004D4B6E">
        <w:rPr>
          <w:rFonts w:eastAsia="ＭＳ 明朝"/>
          <w:szCs w:val="22"/>
          <w:lang w:eastAsia="ja-JP"/>
        </w:rPr>
        <w:t xml:space="preserve">. </w:t>
      </w:r>
      <w:r w:rsidR="008828DE" w:rsidRPr="004D4B6E">
        <w:rPr>
          <w:rFonts w:eastAsia="ＭＳ 明朝"/>
          <w:szCs w:val="22"/>
          <w:lang w:eastAsia="ja-JP"/>
        </w:rPr>
        <w:t>The Commission recogn</w:t>
      </w:r>
      <w:r w:rsidR="002D67F8">
        <w:rPr>
          <w:rFonts w:eastAsia="ＭＳ 明朝"/>
          <w:szCs w:val="22"/>
          <w:lang w:eastAsia="ja-JP"/>
        </w:rPr>
        <w:t>is</w:t>
      </w:r>
      <w:r w:rsidR="008828DE" w:rsidRPr="004D4B6E">
        <w:rPr>
          <w:rFonts w:eastAsia="ＭＳ 明朝"/>
          <w:szCs w:val="22"/>
          <w:lang w:eastAsia="ja-JP"/>
        </w:rPr>
        <w:t>es that regulators and national authorities, working with stakeholders, may require</w:t>
      </w:r>
      <w:r w:rsidR="002C7E64">
        <w:rPr>
          <w:rFonts w:eastAsia="ＭＳ 明朝"/>
          <w:szCs w:val="22"/>
          <w:lang w:eastAsia="ja-JP"/>
        </w:rPr>
        <w:t>, in specific circumstances,</w:t>
      </w:r>
      <w:r w:rsidR="008828DE" w:rsidRPr="004D4B6E">
        <w:rPr>
          <w:rFonts w:eastAsia="ＭＳ 明朝"/>
          <w:szCs w:val="22"/>
          <w:lang w:eastAsia="ja-JP"/>
        </w:rPr>
        <w:t xml:space="preserve"> a reference level lower than 1 mSv</w:t>
      </w:r>
      <w:r w:rsidR="00F04AD2">
        <w:rPr>
          <w:rFonts w:eastAsia="ＭＳ 明朝"/>
          <w:szCs w:val="22"/>
          <w:lang w:eastAsia="ja-JP"/>
        </w:rPr>
        <w:t xml:space="preserve"> </w:t>
      </w:r>
      <w:proofErr w:type="gramStart"/>
      <w:r w:rsidR="008828DE" w:rsidRPr="004D4B6E">
        <w:rPr>
          <w:rFonts w:eastAsia="ＭＳ 明朝"/>
          <w:szCs w:val="22"/>
          <w:lang w:eastAsia="ja-JP"/>
        </w:rPr>
        <w:t>y</w:t>
      </w:r>
      <w:r w:rsidR="00F04AD2">
        <w:rPr>
          <w:rFonts w:eastAsia="ＭＳ 明朝"/>
          <w:szCs w:val="22"/>
          <w:lang w:eastAsia="ja-JP"/>
        </w:rPr>
        <w:t>ear</w:t>
      </w:r>
      <w:r w:rsidR="00F04AD2" w:rsidRPr="00F46D06">
        <w:rPr>
          <w:rFonts w:eastAsia="ＭＳ 明朝"/>
          <w:szCs w:val="22"/>
          <w:vertAlign w:val="superscript"/>
          <w:lang w:eastAsia="ja-JP"/>
        </w:rPr>
        <w:t>−1</w:t>
      </w:r>
      <w:proofErr w:type="gramEnd"/>
      <w:r w:rsidR="008828DE" w:rsidRPr="004D4B6E">
        <w:rPr>
          <w:rFonts w:eastAsia="ＭＳ 明朝"/>
          <w:szCs w:val="22"/>
          <w:lang w:eastAsia="ja-JP"/>
        </w:rPr>
        <w:t xml:space="preserve">. National authorities should select reference level values that are appropriate and </w:t>
      </w:r>
      <w:r w:rsidR="006A503C">
        <w:rPr>
          <w:rFonts w:eastAsia="ＭＳ 明朝"/>
          <w:szCs w:val="22"/>
          <w:lang w:eastAsia="ja-JP"/>
        </w:rPr>
        <w:t>relevant</w:t>
      </w:r>
      <w:r w:rsidR="006A503C" w:rsidRPr="004D4B6E">
        <w:rPr>
          <w:rFonts w:eastAsia="ＭＳ 明朝"/>
          <w:szCs w:val="22"/>
          <w:lang w:eastAsia="ja-JP"/>
        </w:rPr>
        <w:t xml:space="preserve"> </w:t>
      </w:r>
      <w:r w:rsidR="008828DE" w:rsidRPr="004D4B6E">
        <w:rPr>
          <w:rFonts w:eastAsia="ＭＳ 明朝"/>
          <w:szCs w:val="22"/>
          <w:lang w:eastAsia="ja-JP"/>
        </w:rPr>
        <w:t xml:space="preserve">for their </w:t>
      </w:r>
      <w:proofErr w:type="gramStart"/>
      <w:r w:rsidR="00C87254">
        <w:rPr>
          <w:rFonts w:eastAsia="ＭＳ 明朝"/>
          <w:szCs w:val="22"/>
          <w:lang w:eastAsia="ja-JP"/>
        </w:rPr>
        <w:t>circumstances</w:t>
      </w:r>
      <w:r w:rsidR="00341F0F" w:rsidRPr="004D4B6E">
        <w:rPr>
          <w:rFonts w:eastAsia="ＭＳ 明朝"/>
          <w:szCs w:val="22"/>
          <w:lang w:eastAsia="ja-JP"/>
        </w:rPr>
        <w:t>,</w:t>
      </w:r>
      <w:r w:rsidR="008828DE" w:rsidRPr="004D4B6E">
        <w:rPr>
          <w:rFonts w:eastAsia="ＭＳ 明朝"/>
          <w:szCs w:val="22"/>
          <w:lang w:eastAsia="ja-JP"/>
        </w:rPr>
        <w:t xml:space="preserve"> and</w:t>
      </w:r>
      <w:proofErr w:type="gramEnd"/>
      <w:r w:rsidR="008828DE" w:rsidRPr="004D4B6E">
        <w:rPr>
          <w:rFonts w:eastAsia="ＭＳ 明朝"/>
          <w:szCs w:val="22"/>
          <w:lang w:eastAsia="ja-JP"/>
        </w:rPr>
        <w:t xml:space="preserve"> apply the available </w:t>
      </w:r>
      <w:r w:rsidR="008828DE" w:rsidRPr="0007122D">
        <w:rPr>
          <w:rFonts w:eastAsia="ＭＳ 明朝"/>
          <w:szCs w:val="22"/>
          <w:lang w:eastAsia="ja-JP"/>
        </w:rPr>
        <w:t>radiation protection actions as appropriate to provide optimised protection</w:t>
      </w:r>
      <w:r w:rsidR="00341F0F" w:rsidRPr="004D4B6E">
        <w:rPr>
          <w:rFonts w:eastAsia="ＭＳ 明朝"/>
          <w:szCs w:val="22"/>
          <w:lang w:eastAsia="ja-JP"/>
        </w:rPr>
        <w:t>.</w:t>
      </w:r>
    </w:p>
    <w:bookmarkEnd w:id="78"/>
    <w:p w14:paraId="47B7B780" w14:textId="2526DA02"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In </w:t>
      </w:r>
      <w:r w:rsidR="00EF2BD6">
        <w:rPr>
          <w:rFonts w:eastAsia="ＭＳ 明朝"/>
          <w:szCs w:val="22"/>
          <w:lang w:eastAsia="ja-JP"/>
        </w:rPr>
        <w:t xml:space="preserve">the </w:t>
      </w:r>
      <w:r w:rsidRPr="008828DE">
        <w:rPr>
          <w:rFonts w:eastAsia="ＭＳ 明朝"/>
          <w:szCs w:val="22"/>
          <w:lang w:eastAsia="ja-JP"/>
        </w:rPr>
        <w:t xml:space="preserve">case of contaminated areas involving natural radionuclides, public exposure to radon should be </w:t>
      </w:r>
      <w:r w:rsidR="00EF2BD6">
        <w:rPr>
          <w:rFonts w:eastAsia="ＭＳ 明朝"/>
          <w:szCs w:val="22"/>
          <w:lang w:eastAsia="ja-JP"/>
        </w:rPr>
        <w:t>considered</w:t>
      </w:r>
      <w:r w:rsidRPr="008828DE">
        <w:rPr>
          <w:rFonts w:eastAsia="ＭＳ 明朝"/>
          <w:szCs w:val="22"/>
          <w:lang w:eastAsia="ja-JP"/>
        </w:rPr>
        <w:t xml:space="preserve">, as it can be a dominant exposure pathway. As described in </w:t>
      </w:r>
      <w:r w:rsidRPr="00667C97">
        <w:rPr>
          <w:rFonts w:eastAsia="ＭＳ 明朝"/>
          <w:i/>
          <w:iCs/>
          <w:szCs w:val="22"/>
          <w:lang w:eastAsia="ja-JP"/>
        </w:rPr>
        <w:t>Publication 126</w:t>
      </w:r>
      <w:r w:rsidRPr="008828DE">
        <w:rPr>
          <w:rFonts w:eastAsia="ＭＳ 明朝"/>
          <w:szCs w:val="22"/>
          <w:lang w:eastAsia="ja-JP"/>
        </w:rPr>
        <w:t xml:space="preserve"> (ICRP, 2014b), the Commission recommends that the management of radon exposures should be mainly based on </w:t>
      </w:r>
      <w:r w:rsidR="006A6EF4">
        <w:rPr>
          <w:rFonts w:eastAsia="ＭＳ 明朝"/>
          <w:szCs w:val="22"/>
          <w:lang w:eastAsia="ja-JP"/>
        </w:rPr>
        <w:t xml:space="preserve">the </w:t>
      </w:r>
      <w:r w:rsidRPr="008828DE">
        <w:rPr>
          <w:rFonts w:eastAsia="ＭＳ 明朝"/>
          <w:szCs w:val="22"/>
          <w:lang w:eastAsia="ja-JP"/>
        </w:rPr>
        <w:t>application of the optimisation principle using a reference level derived</w:t>
      </w:r>
      <w:r w:rsidR="003D5B2C">
        <w:rPr>
          <w:rFonts w:eastAsia="ＭＳ 明朝"/>
          <w:szCs w:val="22"/>
          <w:lang w:eastAsia="ja-JP"/>
        </w:rPr>
        <w:t>,</w:t>
      </w:r>
      <w:r w:rsidRPr="008828DE">
        <w:rPr>
          <w:rFonts w:eastAsia="ＭＳ 明朝"/>
          <w:szCs w:val="22"/>
          <w:lang w:eastAsia="ja-JP"/>
        </w:rPr>
        <w:t xml:space="preserve"> for practical reasons</w:t>
      </w:r>
      <w:r w:rsidR="003D5B2C">
        <w:rPr>
          <w:rFonts w:eastAsia="ＭＳ 明朝"/>
          <w:szCs w:val="22"/>
          <w:lang w:eastAsia="ja-JP"/>
        </w:rPr>
        <w:t>,</w:t>
      </w:r>
      <w:r w:rsidR="001C67D5">
        <w:rPr>
          <w:rFonts w:eastAsia="ＭＳ 明朝"/>
          <w:szCs w:val="22"/>
          <w:lang w:eastAsia="ja-JP"/>
        </w:rPr>
        <w:t xml:space="preserve"> as an activity </w:t>
      </w:r>
      <w:r w:rsidRPr="008828DE">
        <w:rPr>
          <w:rFonts w:eastAsia="ＭＳ 明朝"/>
          <w:szCs w:val="22"/>
          <w:lang w:eastAsia="ja-JP"/>
        </w:rPr>
        <w:t xml:space="preserve">concentration in air to facilitate </w:t>
      </w:r>
      <w:r w:rsidR="00271B28">
        <w:rPr>
          <w:rFonts w:eastAsia="ＭＳ 明朝"/>
          <w:szCs w:val="22"/>
          <w:lang w:eastAsia="ja-JP"/>
        </w:rPr>
        <w:t xml:space="preserve">its </w:t>
      </w:r>
      <w:r w:rsidRPr="008828DE">
        <w:rPr>
          <w:rFonts w:eastAsia="ＭＳ 明朝"/>
          <w:szCs w:val="22"/>
          <w:lang w:eastAsia="ja-JP"/>
        </w:rPr>
        <w:t xml:space="preserve">implementation. The Commission recommends in </w:t>
      </w:r>
      <w:r w:rsidRPr="00667C97">
        <w:rPr>
          <w:rFonts w:eastAsia="ＭＳ 明朝"/>
          <w:i/>
          <w:iCs/>
          <w:szCs w:val="22"/>
          <w:lang w:eastAsia="ja-JP"/>
        </w:rPr>
        <w:t>Publication 126</w:t>
      </w:r>
      <w:r w:rsidRPr="008828DE">
        <w:rPr>
          <w:rFonts w:eastAsia="ＭＳ 明朝"/>
          <w:szCs w:val="22"/>
          <w:lang w:eastAsia="ja-JP"/>
        </w:rPr>
        <w:t xml:space="preserve"> (ICRP, 2014b) that national authorities should set selected reference levels for radon and thoron that are as low as reasonably achievable in the range of 100</w:t>
      </w:r>
      <w:r w:rsidR="00F04AD2">
        <w:rPr>
          <w:rFonts w:eastAsia="ＭＳ 明朝"/>
          <w:szCs w:val="22"/>
          <w:lang w:eastAsia="ja-JP"/>
        </w:rPr>
        <w:t>–</w:t>
      </w:r>
      <w:r w:rsidRPr="008828DE">
        <w:rPr>
          <w:rFonts w:eastAsia="ＭＳ 明朝"/>
          <w:szCs w:val="22"/>
          <w:lang w:eastAsia="ja-JP"/>
        </w:rPr>
        <w:t>300 Bq m</w:t>
      </w:r>
      <w:r w:rsidR="00F04AD2">
        <w:rPr>
          <w:rFonts w:eastAsia="ＭＳ 明朝"/>
          <w:szCs w:val="22"/>
          <w:vertAlign w:val="superscript"/>
          <w:lang w:eastAsia="ja-JP"/>
        </w:rPr>
        <w:t>−</w:t>
      </w:r>
      <w:r w:rsidRPr="008828DE">
        <w:rPr>
          <w:rFonts w:eastAsia="ＭＳ 明朝"/>
          <w:szCs w:val="22"/>
          <w:vertAlign w:val="superscript"/>
          <w:lang w:eastAsia="ja-JP"/>
        </w:rPr>
        <w:t>3</w:t>
      </w:r>
      <w:r w:rsidRPr="008828DE">
        <w:rPr>
          <w:rFonts w:eastAsia="ＭＳ 明朝"/>
          <w:szCs w:val="22"/>
          <w:lang w:eastAsia="ja-JP"/>
        </w:rPr>
        <w:t xml:space="preserve">, </w:t>
      </w:r>
      <w:proofErr w:type="gramStart"/>
      <w:r w:rsidRPr="008828DE">
        <w:rPr>
          <w:rFonts w:eastAsia="ＭＳ 明朝"/>
          <w:szCs w:val="22"/>
          <w:lang w:eastAsia="ja-JP"/>
        </w:rPr>
        <w:t>taking into account</w:t>
      </w:r>
      <w:proofErr w:type="gramEnd"/>
      <w:r w:rsidRPr="008828DE">
        <w:rPr>
          <w:rFonts w:eastAsia="ＭＳ 明朝"/>
          <w:szCs w:val="22"/>
          <w:lang w:eastAsia="ja-JP"/>
        </w:rPr>
        <w:t xml:space="preserve"> economic and societal circumstances. When concentrations still exceed th</w:t>
      </w:r>
      <w:r w:rsidR="007D56BD">
        <w:rPr>
          <w:rFonts w:eastAsia="ＭＳ 明朝"/>
          <w:szCs w:val="22"/>
          <w:lang w:eastAsia="ja-JP"/>
        </w:rPr>
        <w:t>is</w:t>
      </w:r>
      <w:r w:rsidRPr="008828DE">
        <w:rPr>
          <w:rFonts w:eastAsia="ＭＳ 明朝"/>
          <w:szCs w:val="22"/>
          <w:lang w:eastAsia="ja-JP"/>
        </w:rPr>
        <w:t xml:space="preserve"> selected reference level following </w:t>
      </w:r>
      <w:r w:rsidR="00135A1B">
        <w:rPr>
          <w:rFonts w:eastAsia="ＭＳ 明朝"/>
          <w:szCs w:val="22"/>
          <w:lang w:eastAsia="ja-JP"/>
        </w:rPr>
        <w:t xml:space="preserve">the </w:t>
      </w:r>
      <w:r w:rsidRPr="008828DE">
        <w:rPr>
          <w:rFonts w:eastAsia="ＭＳ 明朝"/>
          <w:szCs w:val="22"/>
          <w:lang w:eastAsia="ja-JP"/>
        </w:rPr>
        <w:t xml:space="preserve">application of radon mitigation measures, it may be necessary, within a graded approach, to undertake additional assessments to determine what further steps might be taken to </w:t>
      </w:r>
      <w:r w:rsidR="003E6E50">
        <w:rPr>
          <w:rFonts w:eastAsia="ＭＳ 明朝"/>
          <w:szCs w:val="22"/>
          <w:lang w:eastAsia="ja-JP"/>
        </w:rPr>
        <w:t>addres</w:t>
      </w:r>
      <w:r w:rsidR="006A503C">
        <w:rPr>
          <w:rFonts w:eastAsia="ＭＳ 明朝"/>
          <w:szCs w:val="22"/>
          <w:lang w:eastAsia="ja-JP"/>
        </w:rPr>
        <w:t>s</w:t>
      </w:r>
      <w:r w:rsidR="003E6E50">
        <w:rPr>
          <w:rFonts w:eastAsia="ＭＳ 明朝"/>
          <w:szCs w:val="22"/>
          <w:lang w:eastAsia="ja-JP"/>
        </w:rPr>
        <w:t xml:space="preserve"> the situation</w:t>
      </w:r>
      <w:r w:rsidRPr="008828DE">
        <w:rPr>
          <w:rFonts w:eastAsia="ＭＳ 明朝"/>
          <w:szCs w:val="22"/>
          <w:lang w:eastAsia="ja-JP"/>
        </w:rPr>
        <w:t>.</w:t>
      </w:r>
      <w:r w:rsidR="00236ED3">
        <w:rPr>
          <w:rFonts w:eastAsia="ＭＳ 明朝"/>
          <w:szCs w:val="22"/>
          <w:lang w:eastAsia="ja-JP"/>
        </w:rPr>
        <w:t xml:space="preserve"> </w:t>
      </w:r>
      <w:r w:rsidR="00236ED3" w:rsidRPr="008828DE">
        <w:rPr>
          <w:rFonts w:eastAsia="ＭＳ 明朝"/>
          <w:szCs w:val="22"/>
          <w:lang w:eastAsia="ja-JP"/>
        </w:rPr>
        <w:t>It is important to emphas</w:t>
      </w:r>
      <w:r w:rsidR="002D67F8">
        <w:rPr>
          <w:rFonts w:eastAsia="ＭＳ 明朝"/>
          <w:szCs w:val="22"/>
          <w:lang w:eastAsia="ja-JP"/>
        </w:rPr>
        <w:t>is</w:t>
      </w:r>
      <w:r w:rsidR="00236ED3" w:rsidRPr="008828DE">
        <w:rPr>
          <w:rFonts w:eastAsia="ＭＳ 明朝"/>
          <w:szCs w:val="22"/>
          <w:lang w:eastAsia="ja-JP"/>
        </w:rPr>
        <w:t xml:space="preserve">e that the reference level selected for the </w:t>
      </w:r>
      <w:r w:rsidR="00236ED3">
        <w:rPr>
          <w:rFonts w:eastAsia="ＭＳ 明朝"/>
          <w:szCs w:val="22"/>
          <w:lang w:eastAsia="ja-JP"/>
        </w:rPr>
        <w:t xml:space="preserve">protection of the </w:t>
      </w:r>
      <w:r w:rsidR="00236ED3" w:rsidRPr="008828DE">
        <w:rPr>
          <w:rFonts w:eastAsia="ＭＳ 明朝"/>
          <w:szCs w:val="22"/>
          <w:lang w:eastAsia="ja-JP"/>
        </w:rPr>
        <w:t xml:space="preserve">public </w:t>
      </w:r>
      <w:r w:rsidR="002728EE">
        <w:rPr>
          <w:rFonts w:eastAsia="ＭＳ 明朝"/>
          <w:szCs w:val="22"/>
          <w:lang w:eastAsia="ja-JP"/>
        </w:rPr>
        <w:t xml:space="preserve">mentioned </w:t>
      </w:r>
      <w:r w:rsidR="00592267">
        <w:rPr>
          <w:rFonts w:eastAsia="ＭＳ 明朝"/>
          <w:szCs w:val="22"/>
          <w:lang w:eastAsia="ja-JP"/>
        </w:rPr>
        <w:t xml:space="preserve">above </w:t>
      </w:r>
      <w:r w:rsidR="00236ED3" w:rsidRPr="008828DE">
        <w:rPr>
          <w:rFonts w:eastAsia="ＭＳ 明朝"/>
          <w:szCs w:val="22"/>
          <w:lang w:eastAsia="ja-JP"/>
        </w:rPr>
        <w:t>does not include exposure from radon.</w:t>
      </w:r>
    </w:p>
    <w:p w14:paraId="6E077E51" w14:textId="5E863E30" w:rsidR="008828DE" w:rsidRPr="008828DE" w:rsidRDefault="008828DE" w:rsidP="00B847B0">
      <w:pPr>
        <w:numPr>
          <w:ilvl w:val="0"/>
          <w:numId w:val="13"/>
        </w:numPr>
        <w:tabs>
          <w:tab w:val="num" w:pos="634"/>
          <w:tab w:val="left" w:pos="851"/>
        </w:tabs>
        <w:ind w:left="0" w:firstLine="142"/>
        <w:jc w:val="both"/>
        <w:rPr>
          <w:rFonts w:eastAsia="ＭＳ 明朝"/>
          <w:szCs w:val="22"/>
          <w:lang w:eastAsia="ja-JP"/>
        </w:rPr>
      </w:pPr>
      <w:r w:rsidRPr="008828DE">
        <w:rPr>
          <w:rFonts w:eastAsia="ＭＳ 明朝"/>
          <w:szCs w:val="22"/>
          <w:lang w:eastAsia="ja-JP"/>
        </w:rPr>
        <w:t xml:space="preserve">While selecting a reference level for the protection of the public, an ongoing dialogue should be held to ensure that well-informed and transparent decisions are made. </w:t>
      </w:r>
      <w:r w:rsidRPr="008828DE">
        <w:rPr>
          <w:rFonts w:eastAsia="ＭＳ 明朝"/>
          <w:szCs w:val="22"/>
          <w:lang w:eastAsia="ja-JP"/>
        </w:rPr>
        <w:lastRenderedPageBreak/>
        <w:t xml:space="preserve">Representatives of stakeholders should have the opportunity to express their </w:t>
      </w:r>
      <w:r w:rsidR="00236ED3">
        <w:rPr>
          <w:rFonts w:eastAsia="ＭＳ 明朝"/>
          <w:szCs w:val="22"/>
          <w:lang w:eastAsia="ja-JP"/>
        </w:rPr>
        <w:t>view</w:t>
      </w:r>
      <w:r w:rsidR="00236ED3" w:rsidRPr="008828DE">
        <w:rPr>
          <w:rFonts w:eastAsia="ＭＳ 明朝"/>
          <w:szCs w:val="22"/>
          <w:lang w:eastAsia="ja-JP"/>
        </w:rPr>
        <w:t>s</w:t>
      </w:r>
      <w:r w:rsidR="00236ED3">
        <w:rPr>
          <w:rFonts w:eastAsia="ＭＳ 明朝"/>
          <w:szCs w:val="22"/>
          <w:lang w:eastAsia="ja-JP"/>
        </w:rPr>
        <w:t xml:space="preserve"> and</w:t>
      </w:r>
      <w:r w:rsidRPr="008828DE">
        <w:rPr>
          <w:rFonts w:eastAsia="ＭＳ 明朝"/>
          <w:szCs w:val="22"/>
          <w:lang w:eastAsia="ja-JP"/>
        </w:rPr>
        <w:t xml:space="preserve"> expectations regarding the protection strategy and </w:t>
      </w:r>
      <w:r w:rsidR="00AE044C">
        <w:rPr>
          <w:rFonts w:eastAsia="ＭＳ 明朝"/>
          <w:szCs w:val="22"/>
          <w:lang w:eastAsia="ja-JP"/>
        </w:rPr>
        <w:t>remedial</w:t>
      </w:r>
      <w:r w:rsidR="00AE044C" w:rsidRPr="008828DE">
        <w:rPr>
          <w:rFonts w:eastAsia="ＭＳ 明朝"/>
          <w:szCs w:val="22"/>
          <w:lang w:eastAsia="ja-JP"/>
        </w:rPr>
        <w:t xml:space="preserve"> </w:t>
      </w:r>
      <w:r w:rsidRPr="008828DE">
        <w:rPr>
          <w:rFonts w:eastAsia="ＭＳ 明朝"/>
          <w:szCs w:val="22"/>
          <w:lang w:eastAsia="ja-JP"/>
        </w:rPr>
        <w:t>actions. Sharing knowledge and information will facilitate the development of a mutual understanding and meaningful involvement in the decision-making process regarding the planning and implementation of remedial actions. Local engagement was fundamental in the agreement of long-term solutions in the rehabilitation of the former nuclear test site at Maralinga (</w:t>
      </w:r>
      <w:r w:rsidR="001413D9">
        <w:rPr>
          <w:rFonts w:eastAsia="ＭＳ 明朝"/>
          <w:szCs w:val="22"/>
          <w:lang w:eastAsia="ja-JP"/>
        </w:rPr>
        <w:t>Section A.2</w:t>
      </w:r>
      <w:r w:rsidRPr="008828DE">
        <w:rPr>
          <w:rFonts w:eastAsia="ＭＳ 明朝"/>
          <w:szCs w:val="22"/>
          <w:lang w:eastAsia="ja-JP"/>
        </w:rPr>
        <w:t>), balancing between restrictions on land use and soil removal, which could have a detrimental environmental and cultural impact. Anthropological studies, which included the diet and lifestyle of the Maralinga Aboriginal community, provided information against which more appropriate remediation decisions were made.</w:t>
      </w:r>
    </w:p>
    <w:p w14:paraId="3085DAF2" w14:textId="6BFF0C4A" w:rsidR="008828DE" w:rsidRPr="008828DE" w:rsidRDefault="008828DE" w:rsidP="00CC7B29">
      <w:pPr>
        <w:numPr>
          <w:ilvl w:val="0"/>
          <w:numId w:val="13"/>
        </w:numPr>
        <w:tabs>
          <w:tab w:val="clear" w:pos="360"/>
          <w:tab w:val="num" w:pos="634"/>
          <w:tab w:val="left" w:pos="851"/>
        </w:tabs>
        <w:ind w:left="0"/>
        <w:jc w:val="both"/>
        <w:rPr>
          <w:rFonts w:eastAsia="ＭＳ 明朝"/>
          <w:szCs w:val="22"/>
          <w:lang w:eastAsia="ja-JP"/>
        </w:rPr>
      </w:pPr>
      <w:r w:rsidRPr="008828DE">
        <w:rPr>
          <w:rFonts w:eastAsia="ＭＳ 明朝"/>
          <w:szCs w:val="22"/>
          <w:lang w:eastAsia="ja-JP"/>
        </w:rPr>
        <w:t xml:space="preserve">Reference levels are typically expressed in terms of annual effective dose </w:t>
      </w:r>
      <w:r w:rsidR="007F4FE1">
        <w:rPr>
          <w:rFonts w:eastAsia="ＭＳ 明朝"/>
          <w:szCs w:val="22"/>
          <w:lang w:eastAsia="ja-JP"/>
        </w:rPr>
        <w:t xml:space="preserve">above </w:t>
      </w:r>
      <w:r w:rsidRPr="008828DE">
        <w:rPr>
          <w:rFonts w:eastAsia="ＭＳ 明朝"/>
          <w:szCs w:val="22"/>
          <w:lang w:eastAsia="ja-JP"/>
        </w:rPr>
        <w:t xml:space="preserve">the </w:t>
      </w:r>
      <w:r w:rsidR="00942CC1">
        <w:rPr>
          <w:rFonts w:eastAsia="ＭＳ 明朝"/>
          <w:szCs w:val="22"/>
          <w:lang w:eastAsia="ja-JP"/>
        </w:rPr>
        <w:t xml:space="preserve">dose from </w:t>
      </w:r>
      <w:r w:rsidRPr="008828DE">
        <w:rPr>
          <w:rFonts w:eastAsia="ＭＳ 明朝"/>
          <w:szCs w:val="22"/>
          <w:lang w:eastAsia="ja-JP"/>
        </w:rPr>
        <w:t xml:space="preserve">natural background. They </w:t>
      </w:r>
      <w:r w:rsidR="00344156">
        <w:rPr>
          <w:rFonts w:eastAsia="ＭＳ 明朝"/>
          <w:szCs w:val="22"/>
          <w:lang w:eastAsia="ja-JP"/>
        </w:rPr>
        <w:t xml:space="preserve">are used for applying </w:t>
      </w:r>
      <w:r w:rsidRPr="008828DE">
        <w:rPr>
          <w:rFonts w:eastAsia="ＭＳ 明朝"/>
          <w:szCs w:val="22"/>
          <w:lang w:eastAsia="ja-JP"/>
        </w:rPr>
        <w:t>optimisation of radiological protection in existing exposure situations and should be used to propose possible remedial options and to contribute to the development of an optimal protection strategy.</w:t>
      </w:r>
    </w:p>
    <w:p w14:paraId="1A2D3096" w14:textId="5F0CB1DE" w:rsidR="008828DE" w:rsidRDefault="008828DE" w:rsidP="00CC7B29">
      <w:pPr>
        <w:numPr>
          <w:ilvl w:val="0"/>
          <w:numId w:val="13"/>
        </w:numPr>
        <w:tabs>
          <w:tab w:val="clear" w:pos="360"/>
          <w:tab w:val="num" w:pos="634"/>
          <w:tab w:val="left" w:pos="851"/>
        </w:tabs>
        <w:ind w:left="0"/>
        <w:jc w:val="both"/>
        <w:rPr>
          <w:rFonts w:eastAsia="ＭＳ 明朝"/>
          <w:szCs w:val="22"/>
          <w:lang w:eastAsia="ja-JP"/>
        </w:rPr>
      </w:pPr>
      <w:r w:rsidRPr="008828DE">
        <w:rPr>
          <w:rFonts w:eastAsia="ＭＳ 明朝"/>
          <w:szCs w:val="22"/>
          <w:lang w:eastAsia="ja-JP"/>
        </w:rPr>
        <w:t xml:space="preserve">While setting the appropriate reference level for the public, it is necessary to assess the level of exposures </w:t>
      </w:r>
      <w:r w:rsidR="0057616B">
        <w:rPr>
          <w:rFonts w:eastAsia="ＭＳ 明朝"/>
          <w:szCs w:val="22"/>
          <w:lang w:eastAsia="ja-JP"/>
        </w:rPr>
        <w:t xml:space="preserve">that are </w:t>
      </w:r>
      <w:r w:rsidR="00491DA2">
        <w:rPr>
          <w:rFonts w:eastAsia="ＭＳ 明朝"/>
          <w:szCs w:val="22"/>
          <w:lang w:eastAsia="ja-JP"/>
        </w:rPr>
        <w:t xml:space="preserve">possible but </w:t>
      </w:r>
      <w:r w:rsidR="00F3567B">
        <w:rPr>
          <w:rFonts w:eastAsia="ＭＳ 明朝"/>
          <w:szCs w:val="22"/>
          <w:lang w:eastAsia="ja-JP"/>
        </w:rPr>
        <w:t xml:space="preserve">not certain to occur </w:t>
      </w:r>
      <w:r w:rsidRPr="008828DE">
        <w:rPr>
          <w:rFonts w:eastAsia="ＭＳ 明朝"/>
          <w:szCs w:val="22"/>
          <w:lang w:eastAsia="ja-JP"/>
        </w:rPr>
        <w:t xml:space="preserve">for the different protection strategies. Addressing </w:t>
      </w:r>
      <w:r w:rsidR="00F3567B">
        <w:rPr>
          <w:rFonts w:eastAsia="ＭＳ 明朝"/>
          <w:szCs w:val="22"/>
          <w:lang w:eastAsia="ja-JP"/>
        </w:rPr>
        <w:t>these</w:t>
      </w:r>
      <w:r w:rsidR="00F3567B" w:rsidRPr="008828DE">
        <w:rPr>
          <w:rFonts w:eastAsia="ＭＳ 明朝"/>
          <w:szCs w:val="22"/>
          <w:lang w:eastAsia="ja-JP"/>
        </w:rPr>
        <w:t xml:space="preserve"> </w:t>
      </w:r>
      <w:r w:rsidR="00F3567B">
        <w:rPr>
          <w:rFonts w:eastAsia="ＭＳ 明朝"/>
          <w:szCs w:val="22"/>
          <w:lang w:eastAsia="ja-JP"/>
        </w:rPr>
        <w:t>type</w:t>
      </w:r>
      <w:r w:rsidR="00C52F64">
        <w:rPr>
          <w:rFonts w:eastAsia="ＭＳ 明朝"/>
          <w:szCs w:val="22"/>
          <w:lang w:eastAsia="ja-JP"/>
        </w:rPr>
        <w:t>s</w:t>
      </w:r>
      <w:r w:rsidR="00F3567B">
        <w:rPr>
          <w:rFonts w:eastAsia="ＭＳ 明朝"/>
          <w:szCs w:val="22"/>
          <w:lang w:eastAsia="ja-JP"/>
        </w:rPr>
        <w:t xml:space="preserve"> of </w:t>
      </w:r>
      <w:r w:rsidRPr="008828DE">
        <w:rPr>
          <w:rFonts w:eastAsia="ＭＳ 明朝"/>
          <w:szCs w:val="22"/>
          <w:lang w:eastAsia="ja-JP"/>
        </w:rPr>
        <w:t>exposure</w:t>
      </w:r>
      <w:r w:rsidR="00F3567B">
        <w:rPr>
          <w:rFonts w:eastAsia="ＭＳ 明朝"/>
          <w:szCs w:val="22"/>
          <w:lang w:eastAsia="ja-JP"/>
        </w:rPr>
        <w:t>s</w:t>
      </w:r>
      <w:r w:rsidRPr="008828DE">
        <w:rPr>
          <w:rFonts w:eastAsia="ＭＳ 明朝"/>
          <w:szCs w:val="22"/>
          <w:lang w:eastAsia="ja-JP"/>
        </w:rPr>
        <w:t xml:space="preserve"> involves consideration of uncertainties associated with exposure scenarios. Advice on addressing uncertainties and variability in selecting assumptions for the exposure assessment is given in ICRP </w:t>
      </w:r>
      <w:r w:rsidRPr="00667C97">
        <w:rPr>
          <w:rFonts w:eastAsia="ＭＳ 明朝"/>
          <w:i/>
          <w:iCs/>
          <w:szCs w:val="22"/>
          <w:lang w:eastAsia="ja-JP"/>
        </w:rPr>
        <w:t>Publication 101</w:t>
      </w:r>
      <w:r w:rsidR="0068685D">
        <w:rPr>
          <w:rFonts w:eastAsia="ＭＳ 明朝"/>
          <w:i/>
          <w:iCs/>
          <w:szCs w:val="22"/>
          <w:lang w:eastAsia="ja-JP"/>
        </w:rPr>
        <w:t>a</w:t>
      </w:r>
      <w:r w:rsidR="00592267">
        <w:rPr>
          <w:rFonts w:eastAsia="ＭＳ 明朝"/>
          <w:szCs w:val="22"/>
          <w:lang w:eastAsia="ja-JP"/>
        </w:rPr>
        <w:t xml:space="preserve"> (ICRP, 2006a)</w:t>
      </w:r>
      <w:r w:rsidRPr="008828DE">
        <w:rPr>
          <w:rFonts w:eastAsia="ＭＳ 明朝"/>
          <w:szCs w:val="22"/>
          <w:lang w:eastAsia="ja-JP"/>
        </w:rPr>
        <w:t xml:space="preserve">. Assessments of </w:t>
      </w:r>
      <w:r w:rsidR="001B01CD">
        <w:rPr>
          <w:rFonts w:eastAsia="ＭＳ 明朝"/>
          <w:szCs w:val="22"/>
          <w:lang w:eastAsia="ja-JP"/>
        </w:rPr>
        <w:t>these</w:t>
      </w:r>
      <w:r w:rsidR="001B01CD" w:rsidRPr="008828DE">
        <w:rPr>
          <w:rFonts w:eastAsia="ＭＳ 明朝"/>
          <w:szCs w:val="22"/>
          <w:lang w:eastAsia="ja-JP"/>
        </w:rPr>
        <w:t xml:space="preserve"> </w:t>
      </w:r>
      <w:r w:rsidR="007F3554">
        <w:rPr>
          <w:rFonts w:eastAsia="ＭＳ 明朝"/>
          <w:szCs w:val="22"/>
          <w:lang w:eastAsia="ja-JP"/>
        </w:rPr>
        <w:t xml:space="preserve">possible </w:t>
      </w:r>
      <w:r w:rsidRPr="008828DE">
        <w:rPr>
          <w:rFonts w:eastAsia="ＭＳ 明朝"/>
          <w:szCs w:val="22"/>
          <w:lang w:eastAsia="ja-JP"/>
        </w:rPr>
        <w:t xml:space="preserve">exposures </w:t>
      </w:r>
      <w:r w:rsidR="001B01CD">
        <w:rPr>
          <w:rFonts w:eastAsia="ＭＳ 明朝"/>
          <w:szCs w:val="22"/>
          <w:lang w:eastAsia="ja-JP"/>
        </w:rPr>
        <w:t xml:space="preserve">not certain to occur </w:t>
      </w:r>
      <w:r w:rsidRPr="008828DE">
        <w:rPr>
          <w:rFonts w:eastAsia="ＭＳ 明朝"/>
          <w:szCs w:val="22"/>
          <w:lang w:eastAsia="ja-JP"/>
        </w:rPr>
        <w:t>should be reasonably realistic instead of focusing on highly unlikely scenarios. The probability of an event and its consequences can be evaluated to assess the risk</w:t>
      </w:r>
      <w:r w:rsidR="00BF1964">
        <w:rPr>
          <w:rFonts w:eastAsia="ＭＳ 明朝"/>
          <w:szCs w:val="22"/>
          <w:lang w:eastAsia="ja-JP"/>
        </w:rPr>
        <w:t xml:space="preserve">, comparing the </w:t>
      </w:r>
      <w:r w:rsidR="00200A2C">
        <w:rPr>
          <w:rFonts w:eastAsia="ＭＳ 明朝"/>
          <w:szCs w:val="22"/>
          <w:lang w:eastAsia="ja-JP"/>
        </w:rPr>
        <w:t>assessment of the detriment</w:t>
      </w:r>
      <w:r w:rsidR="00BF1964">
        <w:rPr>
          <w:rFonts w:eastAsia="ＭＳ 明朝"/>
          <w:szCs w:val="22"/>
          <w:lang w:eastAsia="ja-JP"/>
        </w:rPr>
        <w:t xml:space="preserve"> with a criterion of acceptability that could take the form of a risk constraint, </w:t>
      </w:r>
      <w:r w:rsidRPr="008828DE">
        <w:rPr>
          <w:rFonts w:eastAsia="ＭＳ 明朝"/>
          <w:szCs w:val="22"/>
          <w:lang w:eastAsia="ja-JP"/>
        </w:rPr>
        <w:t>as is described in the Dalgety Bay case study. The results of the risk assessment should be used as input to the decision-making process</w:t>
      </w:r>
      <w:r w:rsidR="00BF1964">
        <w:rPr>
          <w:rFonts w:eastAsia="ＭＳ 明朝"/>
          <w:szCs w:val="22"/>
          <w:lang w:eastAsia="ja-JP"/>
        </w:rPr>
        <w:t xml:space="preserve">. </w:t>
      </w:r>
      <w:r w:rsidRPr="008828DE">
        <w:rPr>
          <w:rFonts w:eastAsia="ＭＳ 明朝"/>
          <w:szCs w:val="22"/>
          <w:lang w:eastAsia="ja-JP"/>
        </w:rPr>
        <w:t xml:space="preserve">The </w:t>
      </w:r>
      <w:r w:rsidR="0022117A">
        <w:rPr>
          <w:rFonts w:eastAsia="ＭＳ 明朝"/>
          <w:szCs w:val="22"/>
          <w:lang w:eastAsia="ja-JP"/>
        </w:rPr>
        <w:t xml:space="preserve">assessment </w:t>
      </w:r>
      <w:r w:rsidRPr="008828DE">
        <w:rPr>
          <w:rFonts w:eastAsia="ＭＳ 明朝"/>
          <w:szCs w:val="22"/>
          <w:lang w:eastAsia="ja-JP"/>
        </w:rPr>
        <w:t>of low probability-high consequence scenarios is part of the justification of the protection strategy</w:t>
      </w:r>
      <w:r w:rsidR="0011795C">
        <w:rPr>
          <w:rFonts w:eastAsia="ＭＳ 明朝"/>
          <w:szCs w:val="22"/>
          <w:lang w:eastAsia="ja-JP"/>
        </w:rPr>
        <w:t xml:space="preserve"> and should </w:t>
      </w:r>
      <w:proofErr w:type="gramStart"/>
      <w:r w:rsidR="0011795C">
        <w:rPr>
          <w:rFonts w:eastAsia="ＭＳ 明朝"/>
          <w:szCs w:val="22"/>
          <w:lang w:eastAsia="ja-JP"/>
        </w:rPr>
        <w:t>take into account</w:t>
      </w:r>
      <w:proofErr w:type="gramEnd"/>
      <w:r w:rsidR="0011795C">
        <w:rPr>
          <w:rFonts w:eastAsia="ＭＳ 明朝"/>
          <w:szCs w:val="22"/>
          <w:lang w:eastAsia="ja-JP"/>
        </w:rPr>
        <w:t xml:space="preserve"> </w:t>
      </w:r>
      <w:r w:rsidR="0011795C" w:rsidRPr="0011795C">
        <w:rPr>
          <w:rFonts w:eastAsia="ＭＳ 明朝"/>
          <w:szCs w:val="22"/>
          <w:lang w:eastAsia="ja-JP"/>
        </w:rPr>
        <w:t>stakeholder concerns</w:t>
      </w:r>
      <w:r w:rsidRPr="008828DE">
        <w:rPr>
          <w:rFonts w:eastAsia="ＭＳ 明朝"/>
          <w:szCs w:val="22"/>
          <w:lang w:eastAsia="ja-JP"/>
        </w:rPr>
        <w:t>.</w:t>
      </w:r>
      <w:r w:rsidR="00A949E2">
        <w:rPr>
          <w:rFonts w:eastAsia="ＭＳ 明朝"/>
          <w:szCs w:val="22"/>
          <w:lang w:eastAsia="ja-JP"/>
        </w:rPr>
        <w:t xml:space="preserve"> Furthermore, </w:t>
      </w:r>
      <w:r w:rsidR="00A949E2" w:rsidRPr="00A949E2">
        <w:rPr>
          <w:rFonts w:eastAsia="ＭＳ 明朝"/>
          <w:szCs w:val="22"/>
          <w:lang w:eastAsia="ja-JP"/>
        </w:rPr>
        <w:t xml:space="preserve">assessment of dose to the public </w:t>
      </w:r>
      <w:r w:rsidR="00C43522">
        <w:rPr>
          <w:rFonts w:eastAsia="ＭＳ 明朝"/>
          <w:szCs w:val="22"/>
          <w:lang w:eastAsia="ja-JP"/>
        </w:rPr>
        <w:t xml:space="preserve">should </w:t>
      </w:r>
      <w:r w:rsidR="00A949E2" w:rsidRPr="00A949E2">
        <w:rPr>
          <w:rFonts w:eastAsia="ＭＳ 明朝"/>
          <w:szCs w:val="22"/>
          <w:lang w:eastAsia="ja-JP"/>
        </w:rPr>
        <w:t xml:space="preserve">include not only exposure to any contamination in situ but also </w:t>
      </w:r>
      <w:r w:rsidR="00987764">
        <w:rPr>
          <w:rFonts w:eastAsia="ＭＳ 明朝"/>
          <w:szCs w:val="22"/>
          <w:lang w:eastAsia="ja-JP"/>
        </w:rPr>
        <w:t xml:space="preserve">the </w:t>
      </w:r>
      <w:r w:rsidR="00A949E2" w:rsidRPr="00A949E2">
        <w:rPr>
          <w:rFonts w:eastAsia="ＭＳ 明朝"/>
          <w:szCs w:val="22"/>
          <w:lang w:eastAsia="ja-JP"/>
        </w:rPr>
        <w:t>exposure that may occur during remedial work, for example from the inhalation of dust blown from the site</w:t>
      </w:r>
      <w:r w:rsidR="00A976B3">
        <w:rPr>
          <w:rFonts w:eastAsia="ＭＳ 明朝"/>
          <w:szCs w:val="22"/>
          <w:lang w:eastAsia="ja-JP"/>
        </w:rPr>
        <w:t xml:space="preserve">. </w:t>
      </w:r>
      <w:r w:rsidR="00A949E2" w:rsidRPr="00A949E2">
        <w:rPr>
          <w:rFonts w:eastAsia="ＭＳ 明朝"/>
          <w:szCs w:val="22"/>
          <w:lang w:eastAsia="ja-JP"/>
        </w:rPr>
        <w:t xml:space="preserve"> </w:t>
      </w:r>
      <w:r w:rsidR="008B1BE9">
        <w:rPr>
          <w:rFonts w:eastAsia="ＭＳ 明朝"/>
          <w:szCs w:val="22"/>
          <w:lang w:eastAsia="ja-JP"/>
        </w:rPr>
        <w:t xml:space="preserve">Exposures that </w:t>
      </w:r>
      <w:r w:rsidR="00A949E2" w:rsidRPr="00A949E2">
        <w:rPr>
          <w:rFonts w:eastAsia="ＭＳ 明朝"/>
          <w:szCs w:val="22"/>
          <w:lang w:eastAsia="ja-JP"/>
        </w:rPr>
        <w:t>may arise during the treatment and disposal</w:t>
      </w:r>
      <w:r w:rsidR="008B1BE9">
        <w:rPr>
          <w:rFonts w:eastAsia="ＭＳ 明朝"/>
          <w:szCs w:val="22"/>
          <w:lang w:eastAsia="ja-JP"/>
        </w:rPr>
        <w:t xml:space="preserve"> </w:t>
      </w:r>
      <w:r w:rsidR="00A949E2" w:rsidRPr="00A949E2">
        <w:rPr>
          <w:rFonts w:eastAsia="ＭＳ 明朝"/>
          <w:szCs w:val="22"/>
          <w:lang w:eastAsia="ja-JP"/>
        </w:rPr>
        <w:t>of wastes generated during remediation</w:t>
      </w:r>
      <w:r w:rsidR="008B1BE9">
        <w:rPr>
          <w:rFonts w:eastAsia="ＭＳ 明朝"/>
          <w:szCs w:val="22"/>
          <w:lang w:eastAsia="ja-JP"/>
        </w:rPr>
        <w:t xml:space="preserve"> should also be considered</w:t>
      </w:r>
      <w:r w:rsidR="00A949E2" w:rsidRPr="00A949E2">
        <w:rPr>
          <w:rFonts w:eastAsia="ＭＳ 明朝"/>
          <w:szCs w:val="22"/>
          <w:lang w:eastAsia="ja-JP"/>
        </w:rPr>
        <w:t>. Assessment of dose to the public should be made for current as well as post</w:t>
      </w:r>
      <w:r w:rsidR="006764A2">
        <w:rPr>
          <w:rFonts w:eastAsia="ＭＳ 明朝"/>
          <w:szCs w:val="22"/>
          <w:lang w:eastAsia="ja-JP"/>
        </w:rPr>
        <w:t>-</w:t>
      </w:r>
      <w:r w:rsidR="00A949E2" w:rsidRPr="00A949E2">
        <w:rPr>
          <w:rFonts w:eastAsia="ＭＳ 明朝"/>
          <w:szCs w:val="22"/>
          <w:lang w:eastAsia="ja-JP"/>
        </w:rPr>
        <w:t xml:space="preserve">remediation exposures so that the potential impact of the planned remediation can be </w:t>
      </w:r>
      <w:r w:rsidR="00455F5A">
        <w:rPr>
          <w:rFonts w:eastAsia="ＭＳ 明朝"/>
          <w:szCs w:val="22"/>
          <w:lang w:eastAsia="ja-JP"/>
        </w:rPr>
        <w:t xml:space="preserve">evaluated for </w:t>
      </w:r>
      <w:r w:rsidR="00A949E2" w:rsidRPr="00A949E2">
        <w:rPr>
          <w:rFonts w:eastAsia="ＭＳ 明朝"/>
          <w:szCs w:val="22"/>
          <w:lang w:eastAsia="ja-JP"/>
        </w:rPr>
        <w:t>complian</w:t>
      </w:r>
      <w:r w:rsidR="00455F5A">
        <w:rPr>
          <w:rFonts w:eastAsia="ＭＳ 明朝"/>
          <w:szCs w:val="22"/>
          <w:lang w:eastAsia="ja-JP"/>
        </w:rPr>
        <w:t>ce</w:t>
      </w:r>
      <w:r w:rsidR="00A949E2" w:rsidRPr="00A949E2">
        <w:rPr>
          <w:rFonts w:eastAsia="ＭＳ 明朝"/>
          <w:szCs w:val="22"/>
          <w:lang w:eastAsia="ja-JP"/>
        </w:rPr>
        <w:t xml:space="preserve"> with the reference level.</w:t>
      </w:r>
    </w:p>
    <w:p w14:paraId="1E1218D3" w14:textId="745C1612" w:rsidR="00B847B0" w:rsidRPr="003F34DF" w:rsidRDefault="005D19E5" w:rsidP="00667C97">
      <w:pPr>
        <w:pStyle w:val="afa"/>
        <w:tabs>
          <w:tab w:val="left" w:pos="851"/>
        </w:tabs>
        <w:spacing w:before="240" w:after="240"/>
        <w:ind w:left="0"/>
        <w:outlineLvl w:val="2"/>
        <w:rPr>
          <w:rFonts w:ascii="Times New Roman" w:eastAsia="ＭＳ 明朝" w:hAnsi="Times New Roman"/>
          <w:bCs/>
          <w:i/>
          <w:iCs/>
          <w:snapToGrid/>
          <w:sz w:val="24"/>
          <w:lang w:val="en-GB" w:eastAsia="ja-JP"/>
        </w:rPr>
      </w:pPr>
      <w:bookmarkStart w:id="79" w:name="_Toc159175959"/>
      <w:bookmarkStart w:id="80" w:name="_Toc159397479"/>
      <w:r w:rsidRPr="003F34DF">
        <w:rPr>
          <w:rFonts w:ascii="Times New Roman" w:eastAsia="ＭＳ 明朝" w:hAnsi="Times New Roman"/>
          <w:bCs/>
          <w:i/>
          <w:iCs/>
          <w:snapToGrid/>
          <w:sz w:val="24"/>
          <w:lang w:val="en-GB" w:eastAsia="ja-JP"/>
        </w:rPr>
        <w:t>Health surveillance</w:t>
      </w:r>
      <w:bookmarkEnd w:id="79"/>
      <w:bookmarkEnd w:id="80"/>
    </w:p>
    <w:p w14:paraId="247FCC54" w14:textId="1FB08048" w:rsidR="00B847B0" w:rsidRPr="00E31824" w:rsidRDefault="00A36BDF" w:rsidP="00E31824">
      <w:pPr>
        <w:numPr>
          <w:ilvl w:val="0"/>
          <w:numId w:val="13"/>
        </w:numPr>
        <w:tabs>
          <w:tab w:val="clear" w:pos="360"/>
          <w:tab w:val="num" w:pos="634"/>
          <w:tab w:val="left" w:pos="851"/>
        </w:tabs>
        <w:ind w:left="0"/>
        <w:jc w:val="both"/>
        <w:rPr>
          <w:rFonts w:eastAsia="ＭＳ 明朝"/>
          <w:szCs w:val="22"/>
          <w:lang w:eastAsia="ja-JP"/>
        </w:rPr>
      </w:pPr>
      <w:r w:rsidRPr="00E31824">
        <w:rPr>
          <w:rFonts w:eastAsia="ＭＳ 明朝"/>
          <w:szCs w:val="22"/>
          <w:lang w:eastAsia="ja-JP"/>
        </w:rPr>
        <w:t xml:space="preserve">Although the levels of exposure in the affected </w:t>
      </w:r>
      <w:r w:rsidR="006A6A3E" w:rsidRPr="00E31824">
        <w:rPr>
          <w:rFonts w:eastAsia="ＭＳ 明朝"/>
          <w:szCs w:val="22"/>
          <w:lang w:eastAsia="ja-JP"/>
        </w:rPr>
        <w:t>areas are</w:t>
      </w:r>
      <w:r w:rsidRPr="00E31824">
        <w:rPr>
          <w:rFonts w:eastAsia="ＭＳ 明朝"/>
          <w:szCs w:val="22"/>
          <w:lang w:eastAsia="ja-JP"/>
        </w:rPr>
        <w:t xml:space="preserve"> </w:t>
      </w:r>
      <w:r w:rsidR="006354DB">
        <w:rPr>
          <w:rFonts w:eastAsia="ＭＳ 明朝"/>
          <w:szCs w:val="22"/>
          <w:lang w:eastAsia="ja-JP"/>
        </w:rPr>
        <w:t xml:space="preserve">generally </w:t>
      </w:r>
      <w:r w:rsidRPr="00E31824">
        <w:rPr>
          <w:rFonts w:eastAsia="ＭＳ 明朝"/>
          <w:szCs w:val="22"/>
          <w:lang w:eastAsia="ja-JP"/>
        </w:rPr>
        <w:t>relative</w:t>
      </w:r>
      <w:r w:rsidR="006354DB">
        <w:rPr>
          <w:rFonts w:eastAsia="ＭＳ 明朝"/>
          <w:szCs w:val="22"/>
          <w:lang w:eastAsia="ja-JP"/>
        </w:rPr>
        <w:t>ly</w:t>
      </w:r>
      <w:r w:rsidRPr="00E31824">
        <w:rPr>
          <w:rFonts w:eastAsia="ＭＳ 明朝"/>
          <w:szCs w:val="22"/>
          <w:lang w:eastAsia="ja-JP"/>
        </w:rPr>
        <w:t xml:space="preserve"> low, the presence of contamination and its potential health impacts may remain a concern among the population. </w:t>
      </w:r>
      <w:r w:rsidR="00D310E4">
        <w:rPr>
          <w:rFonts w:eastAsia="ＭＳ 明朝"/>
          <w:szCs w:val="22"/>
          <w:lang w:eastAsia="ja-JP"/>
        </w:rPr>
        <w:t>While a</w:t>
      </w:r>
      <w:r w:rsidR="00D310E4" w:rsidRPr="000C3362">
        <w:rPr>
          <w:rFonts w:eastAsia="ＭＳ 明朝"/>
          <w:szCs w:val="22"/>
          <w:lang w:eastAsia="ja-JP"/>
        </w:rPr>
        <w:t xml:space="preserve"> </w:t>
      </w:r>
      <w:r w:rsidR="000C3362" w:rsidRPr="000C3362">
        <w:rPr>
          <w:rFonts w:eastAsia="ＭＳ 明朝"/>
          <w:szCs w:val="22"/>
          <w:lang w:eastAsia="ja-JP"/>
        </w:rPr>
        <w:t>health surveillance programme is typically not needed</w:t>
      </w:r>
      <w:r w:rsidR="00D310E4">
        <w:rPr>
          <w:rFonts w:eastAsia="ＭＳ 明朝"/>
          <w:szCs w:val="22"/>
          <w:lang w:eastAsia="ja-JP"/>
        </w:rPr>
        <w:t>,</w:t>
      </w:r>
      <w:r w:rsidR="000C3362" w:rsidRPr="000C3362">
        <w:rPr>
          <w:rFonts w:eastAsia="ＭＳ 明朝"/>
          <w:szCs w:val="22"/>
          <w:lang w:eastAsia="ja-JP"/>
        </w:rPr>
        <w:t xml:space="preserve"> </w:t>
      </w:r>
      <w:r w:rsidR="00D310E4">
        <w:rPr>
          <w:rFonts w:eastAsia="ＭＳ 明朝"/>
          <w:szCs w:val="22"/>
          <w:lang w:eastAsia="ja-JP"/>
        </w:rPr>
        <w:t>it</w:t>
      </w:r>
      <w:r w:rsidR="00D310E4" w:rsidRPr="000C3362">
        <w:rPr>
          <w:rFonts w:eastAsia="ＭＳ 明朝"/>
          <w:szCs w:val="22"/>
          <w:lang w:eastAsia="ja-JP"/>
        </w:rPr>
        <w:t xml:space="preserve"> </w:t>
      </w:r>
      <w:r w:rsidR="000C3362" w:rsidRPr="000C3362">
        <w:rPr>
          <w:rFonts w:eastAsia="ＭＳ 明朝"/>
          <w:szCs w:val="22"/>
          <w:lang w:eastAsia="ja-JP"/>
        </w:rPr>
        <w:t xml:space="preserve">may be warranted in exceptional cases where doses to the public from a site could be significant or stakeholder concerns are unresolved. </w:t>
      </w:r>
      <w:r w:rsidR="00E21F06">
        <w:rPr>
          <w:rFonts w:eastAsia="ＭＳ 明朝"/>
          <w:szCs w:val="22"/>
          <w:lang w:eastAsia="ja-JP"/>
        </w:rPr>
        <w:t>In these situations, i</w:t>
      </w:r>
      <w:r w:rsidRPr="00E31824">
        <w:rPr>
          <w:rFonts w:eastAsia="ＭＳ 明朝"/>
          <w:szCs w:val="22"/>
          <w:lang w:eastAsia="ja-JP"/>
        </w:rPr>
        <w:t>t is recommend</w:t>
      </w:r>
      <w:r w:rsidR="006354DB">
        <w:rPr>
          <w:rFonts w:eastAsia="ＭＳ 明朝"/>
          <w:szCs w:val="22"/>
          <w:lang w:eastAsia="ja-JP"/>
        </w:rPr>
        <w:t>ed</w:t>
      </w:r>
      <w:r w:rsidRPr="00E31824">
        <w:rPr>
          <w:rFonts w:eastAsia="ＭＳ 明朝"/>
          <w:szCs w:val="22"/>
          <w:lang w:eastAsia="ja-JP"/>
        </w:rPr>
        <w:t xml:space="preserve"> that </w:t>
      </w:r>
      <w:r w:rsidR="00A81CD3" w:rsidRPr="00E31824">
        <w:rPr>
          <w:rFonts w:eastAsia="ＭＳ 明朝"/>
          <w:szCs w:val="22"/>
          <w:lang w:eastAsia="ja-JP"/>
        </w:rPr>
        <w:t xml:space="preserve">authorities </w:t>
      </w:r>
      <w:r w:rsidR="00A81CD3">
        <w:rPr>
          <w:rFonts w:eastAsia="ＭＳ 明朝"/>
          <w:szCs w:val="22"/>
          <w:lang w:eastAsia="ja-JP"/>
        </w:rPr>
        <w:t>explain</w:t>
      </w:r>
      <w:r w:rsidRPr="00E31824">
        <w:rPr>
          <w:rFonts w:eastAsia="ＭＳ 明朝"/>
          <w:szCs w:val="22"/>
          <w:lang w:eastAsia="ja-JP"/>
        </w:rPr>
        <w:t xml:space="preserve"> </w:t>
      </w:r>
      <w:r w:rsidR="00D3569A">
        <w:rPr>
          <w:rFonts w:eastAsia="ＭＳ 明朝"/>
          <w:szCs w:val="22"/>
          <w:lang w:eastAsia="ja-JP"/>
        </w:rPr>
        <w:t xml:space="preserve">to </w:t>
      </w:r>
      <w:r w:rsidRPr="00E31824">
        <w:rPr>
          <w:rFonts w:eastAsia="ＭＳ 明朝"/>
          <w:szCs w:val="22"/>
          <w:lang w:eastAsia="ja-JP"/>
        </w:rPr>
        <w:t>the population the usefulness of implementing a health surveillance programme</w:t>
      </w:r>
      <w:r w:rsidR="00C71A20">
        <w:rPr>
          <w:rFonts w:eastAsia="ＭＳ 明朝"/>
          <w:szCs w:val="22"/>
          <w:lang w:eastAsia="ja-JP"/>
        </w:rPr>
        <w:t>, which is designed</w:t>
      </w:r>
      <w:r w:rsidRPr="00E31824">
        <w:rPr>
          <w:rFonts w:eastAsia="ＭＳ 明朝"/>
          <w:szCs w:val="22"/>
          <w:lang w:eastAsia="ja-JP"/>
        </w:rPr>
        <w:t xml:space="preserve"> to follow the health status of the involved population in the contaminated area. </w:t>
      </w:r>
      <w:r w:rsidR="00C71A20">
        <w:rPr>
          <w:rFonts w:eastAsia="ＭＳ 明朝"/>
          <w:szCs w:val="22"/>
          <w:lang w:eastAsia="ja-JP"/>
        </w:rPr>
        <w:t xml:space="preserve">Such a </w:t>
      </w:r>
      <w:r w:rsidR="000253B5">
        <w:rPr>
          <w:rFonts w:eastAsia="ＭＳ 明朝"/>
          <w:szCs w:val="22"/>
          <w:lang w:eastAsia="ja-JP"/>
        </w:rPr>
        <w:t xml:space="preserve">programme </w:t>
      </w:r>
      <w:r w:rsidR="000253B5" w:rsidRPr="00E31824">
        <w:rPr>
          <w:rFonts w:eastAsia="ＭＳ 明朝"/>
          <w:szCs w:val="22"/>
          <w:lang w:eastAsia="ja-JP"/>
        </w:rPr>
        <w:t>would</w:t>
      </w:r>
      <w:r w:rsidR="00CB1057" w:rsidRPr="00E31824">
        <w:rPr>
          <w:rFonts w:eastAsia="ＭＳ 明朝"/>
          <w:szCs w:val="22"/>
          <w:lang w:eastAsia="ja-JP"/>
        </w:rPr>
        <w:t xml:space="preserve"> </w:t>
      </w:r>
      <w:r w:rsidR="00D42880">
        <w:rPr>
          <w:rFonts w:eastAsia="ＭＳ 明朝"/>
          <w:szCs w:val="22"/>
          <w:lang w:eastAsia="ja-JP"/>
        </w:rPr>
        <w:t xml:space="preserve">likely </w:t>
      </w:r>
      <w:r w:rsidR="00CB1057" w:rsidRPr="00E31824">
        <w:rPr>
          <w:rFonts w:eastAsia="ＭＳ 明朝"/>
          <w:szCs w:val="22"/>
          <w:lang w:eastAsia="ja-JP"/>
        </w:rPr>
        <w:t>include</w:t>
      </w:r>
      <w:r w:rsidRPr="00E31824">
        <w:rPr>
          <w:rFonts w:eastAsia="ＭＳ 明朝"/>
          <w:szCs w:val="22"/>
          <w:lang w:eastAsia="ja-JP"/>
        </w:rPr>
        <w:t xml:space="preserve"> </w:t>
      </w:r>
      <w:r w:rsidR="00CB1057" w:rsidRPr="00E31824">
        <w:rPr>
          <w:rFonts w:eastAsia="ＭＳ 明朝"/>
          <w:szCs w:val="22"/>
          <w:lang w:eastAsia="ja-JP"/>
        </w:rPr>
        <w:t xml:space="preserve">an initial medical evaluation and follow-up of health status. </w:t>
      </w:r>
      <w:r w:rsidR="00C8235A" w:rsidRPr="00E31824">
        <w:rPr>
          <w:rFonts w:eastAsia="ＭＳ 明朝"/>
          <w:szCs w:val="22"/>
          <w:lang w:eastAsia="ja-JP"/>
        </w:rPr>
        <w:t xml:space="preserve">Its implementation requires the development of health surveys, health databases, and mechanisms for providing information and access to health support. </w:t>
      </w:r>
      <w:r w:rsidR="00CB1057" w:rsidRPr="00E31824">
        <w:rPr>
          <w:rFonts w:eastAsia="ＭＳ 明朝"/>
          <w:szCs w:val="22"/>
          <w:lang w:eastAsia="ja-JP"/>
        </w:rPr>
        <w:t>H</w:t>
      </w:r>
      <w:r w:rsidRPr="00E31824">
        <w:rPr>
          <w:rFonts w:eastAsia="ＭＳ 明朝"/>
          <w:szCs w:val="22"/>
          <w:lang w:eastAsia="ja-JP"/>
        </w:rPr>
        <w:t>ealth monitoring of vulnerable groups (e.g. young children, pregnant wom</w:t>
      </w:r>
      <w:r w:rsidR="00E1545F">
        <w:rPr>
          <w:rFonts w:eastAsia="ＭＳ 明朝"/>
          <w:szCs w:val="22"/>
          <w:lang w:eastAsia="ja-JP"/>
        </w:rPr>
        <w:t>e</w:t>
      </w:r>
      <w:r w:rsidRPr="00E31824">
        <w:rPr>
          <w:rFonts w:eastAsia="ＭＳ 明朝"/>
          <w:szCs w:val="22"/>
          <w:lang w:eastAsia="ja-JP"/>
        </w:rPr>
        <w:t>n)</w:t>
      </w:r>
      <w:r w:rsidR="00CB1057" w:rsidRPr="00E31824">
        <w:rPr>
          <w:rFonts w:eastAsia="ＭＳ 明朝"/>
          <w:szCs w:val="22"/>
          <w:lang w:eastAsia="ja-JP"/>
        </w:rPr>
        <w:t xml:space="preserve"> would be particularly important</w:t>
      </w:r>
      <w:r w:rsidRPr="00E31824">
        <w:rPr>
          <w:rFonts w:eastAsia="ＭＳ 明朝"/>
          <w:szCs w:val="22"/>
          <w:lang w:eastAsia="ja-JP"/>
        </w:rPr>
        <w:t xml:space="preserve">. </w:t>
      </w:r>
    </w:p>
    <w:p w14:paraId="2FFD1D16" w14:textId="05B3FB06" w:rsidR="00B847B0" w:rsidRPr="00E31824" w:rsidRDefault="00A36BDF" w:rsidP="00E31824">
      <w:pPr>
        <w:numPr>
          <w:ilvl w:val="0"/>
          <w:numId w:val="13"/>
        </w:numPr>
        <w:tabs>
          <w:tab w:val="clear" w:pos="360"/>
          <w:tab w:val="num" w:pos="634"/>
          <w:tab w:val="left" w:pos="851"/>
        </w:tabs>
        <w:ind w:left="0"/>
        <w:jc w:val="both"/>
        <w:rPr>
          <w:rFonts w:eastAsia="ＭＳ 明朝"/>
          <w:szCs w:val="22"/>
          <w:lang w:eastAsia="ja-JP"/>
        </w:rPr>
      </w:pPr>
      <w:r w:rsidRPr="00B847B0">
        <w:rPr>
          <w:rFonts w:eastAsia="ＭＳ 明朝"/>
          <w:szCs w:val="22"/>
          <w:lang w:eastAsia="ja-JP"/>
        </w:rPr>
        <w:t xml:space="preserve">Health surveillance of the population </w:t>
      </w:r>
      <w:r w:rsidR="00E1545F">
        <w:rPr>
          <w:rFonts w:eastAsia="ＭＳ 明朝"/>
          <w:szCs w:val="22"/>
          <w:lang w:eastAsia="ja-JP"/>
        </w:rPr>
        <w:t xml:space="preserve">exposed from </w:t>
      </w:r>
      <w:r w:rsidRPr="00B847B0">
        <w:rPr>
          <w:rFonts w:eastAsia="ＭＳ 明朝"/>
          <w:szCs w:val="22"/>
          <w:lang w:eastAsia="ja-JP"/>
        </w:rPr>
        <w:t xml:space="preserve">past activities may also include specific epidemiological studies </w:t>
      </w:r>
      <w:r w:rsidR="009469D4">
        <w:rPr>
          <w:rFonts w:eastAsia="ＭＳ 明朝"/>
          <w:szCs w:val="22"/>
          <w:lang w:eastAsia="ja-JP"/>
        </w:rPr>
        <w:t xml:space="preserve">designed </w:t>
      </w:r>
      <w:r w:rsidRPr="00B847B0">
        <w:rPr>
          <w:rFonts w:eastAsia="ＭＳ 明朝"/>
          <w:szCs w:val="22"/>
          <w:lang w:eastAsia="ja-JP"/>
        </w:rPr>
        <w:t xml:space="preserve">to provide information on possible radiation health </w:t>
      </w:r>
      <w:r w:rsidRPr="00B847B0">
        <w:rPr>
          <w:rFonts w:eastAsia="ＭＳ 明朝"/>
          <w:szCs w:val="22"/>
          <w:lang w:eastAsia="ja-JP"/>
        </w:rPr>
        <w:lastRenderedPageBreak/>
        <w:t xml:space="preserve">effects </w:t>
      </w:r>
      <w:r w:rsidR="00E019B2">
        <w:rPr>
          <w:rFonts w:eastAsia="ＭＳ 明朝"/>
          <w:szCs w:val="22"/>
          <w:lang w:eastAsia="ja-JP"/>
        </w:rPr>
        <w:t>that could develop over time.</w:t>
      </w:r>
      <w:r w:rsidRPr="00B847B0">
        <w:rPr>
          <w:rFonts w:eastAsia="ＭＳ 明朝"/>
          <w:szCs w:val="22"/>
          <w:lang w:eastAsia="ja-JP"/>
        </w:rPr>
        <w:t xml:space="preserve"> </w:t>
      </w:r>
      <w:proofErr w:type="gramStart"/>
      <w:r w:rsidR="001C1BFD">
        <w:rPr>
          <w:rFonts w:eastAsia="ＭＳ 明朝"/>
          <w:szCs w:val="22"/>
          <w:lang w:eastAsia="ja-JP"/>
        </w:rPr>
        <w:t xml:space="preserve">In particular, </w:t>
      </w:r>
      <w:r w:rsidR="00447AC7">
        <w:rPr>
          <w:rFonts w:eastAsia="ＭＳ 明朝"/>
          <w:szCs w:val="22"/>
          <w:lang w:eastAsia="ja-JP"/>
        </w:rPr>
        <w:t>these</w:t>
      </w:r>
      <w:proofErr w:type="gramEnd"/>
      <w:r w:rsidR="00447AC7">
        <w:rPr>
          <w:rFonts w:eastAsia="ＭＳ 明朝"/>
          <w:szCs w:val="22"/>
          <w:lang w:eastAsia="ja-JP"/>
        </w:rPr>
        <w:t xml:space="preserve"> studies could help identify whether there is any excess </w:t>
      </w:r>
      <w:r w:rsidRPr="00B847B0">
        <w:rPr>
          <w:rFonts w:eastAsia="ＭＳ 明朝"/>
          <w:szCs w:val="22"/>
          <w:lang w:eastAsia="ja-JP"/>
        </w:rPr>
        <w:t>incidence of cancer</w:t>
      </w:r>
      <w:r w:rsidR="00B93283">
        <w:rPr>
          <w:rFonts w:eastAsia="ＭＳ 明朝"/>
          <w:szCs w:val="22"/>
          <w:lang w:eastAsia="ja-JP"/>
        </w:rPr>
        <w:t xml:space="preserve"> </w:t>
      </w:r>
      <w:r w:rsidR="00A636AE">
        <w:rPr>
          <w:rFonts w:eastAsia="ＭＳ 明朝"/>
          <w:szCs w:val="22"/>
          <w:lang w:eastAsia="ja-JP"/>
        </w:rPr>
        <w:t>that could be attributable to radiation exposure</w:t>
      </w:r>
      <w:r w:rsidRPr="00B847B0">
        <w:rPr>
          <w:rFonts w:eastAsia="ＭＳ 明朝"/>
          <w:szCs w:val="22"/>
          <w:lang w:eastAsia="ja-JP"/>
        </w:rPr>
        <w:t>.</w:t>
      </w:r>
    </w:p>
    <w:p w14:paraId="37D1F221" w14:textId="59AA7EBD" w:rsidR="00A36BDF" w:rsidRPr="00E31824" w:rsidRDefault="00A36BDF" w:rsidP="00E31824">
      <w:pPr>
        <w:numPr>
          <w:ilvl w:val="0"/>
          <w:numId w:val="13"/>
        </w:numPr>
        <w:tabs>
          <w:tab w:val="clear" w:pos="360"/>
          <w:tab w:val="num" w:pos="634"/>
          <w:tab w:val="left" w:pos="851"/>
        </w:tabs>
        <w:ind w:left="0"/>
        <w:jc w:val="both"/>
        <w:rPr>
          <w:rFonts w:eastAsia="ＭＳ 明朝"/>
          <w:szCs w:val="22"/>
          <w:lang w:eastAsia="ja-JP"/>
        </w:rPr>
      </w:pPr>
      <w:r w:rsidRPr="00B847B0">
        <w:rPr>
          <w:rFonts w:eastAsia="ＭＳ 明朝"/>
          <w:szCs w:val="22"/>
          <w:lang w:eastAsia="ja-JP"/>
        </w:rPr>
        <w:t xml:space="preserve">It is recommended that authorities engage </w:t>
      </w:r>
      <w:r w:rsidR="00534BA9">
        <w:rPr>
          <w:rFonts w:eastAsia="ＭＳ 明朝"/>
          <w:szCs w:val="22"/>
          <w:lang w:eastAsia="ja-JP"/>
        </w:rPr>
        <w:t xml:space="preserve">in </w:t>
      </w:r>
      <w:r w:rsidRPr="00B847B0">
        <w:rPr>
          <w:rFonts w:eastAsia="ＭＳ 明朝"/>
          <w:szCs w:val="22"/>
          <w:lang w:eastAsia="ja-JP"/>
        </w:rPr>
        <w:t>a dialogue with concerned stakeholders and explain clearly and in plain language</w:t>
      </w:r>
      <w:r w:rsidR="00C93231" w:rsidRPr="00B847B0">
        <w:rPr>
          <w:rFonts w:eastAsia="ＭＳ 明朝"/>
          <w:szCs w:val="22"/>
          <w:lang w:eastAsia="ja-JP"/>
        </w:rPr>
        <w:t xml:space="preserve"> the sources of radiation to which the public are </w:t>
      </w:r>
      <w:r w:rsidR="00FB1789">
        <w:rPr>
          <w:rFonts w:eastAsia="ＭＳ 明朝"/>
          <w:szCs w:val="22"/>
          <w:lang w:eastAsia="ja-JP"/>
        </w:rPr>
        <w:t xml:space="preserve">being or have been </w:t>
      </w:r>
      <w:r w:rsidR="00C93231" w:rsidRPr="00B847B0">
        <w:rPr>
          <w:rFonts w:eastAsia="ＭＳ 明朝"/>
          <w:szCs w:val="22"/>
          <w:lang w:eastAsia="ja-JP"/>
        </w:rPr>
        <w:t xml:space="preserve">exposed, the magnitude of these exposures and the associated </w:t>
      </w:r>
      <w:r w:rsidR="008929CF">
        <w:rPr>
          <w:rFonts w:eastAsia="ＭＳ 明朝"/>
          <w:szCs w:val="22"/>
          <w:lang w:eastAsia="ja-JP"/>
        </w:rPr>
        <w:t xml:space="preserve">possible </w:t>
      </w:r>
      <w:r w:rsidR="00C93231" w:rsidRPr="00B847B0">
        <w:rPr>
          <w:rFonts w:eastAsia="ＭＳ 明朝"/>
          <w:szCs w:val="22"/>
          <w:lang w:eastAsia="ja-JP"/>
        </w:rPr>
        <w:t>health risks</w:t>
      </w:r>
      <w:r w:rsidR="006354DB">
        <w:rPr>
          <w:rFonts w:eastAsia="ＭＳ 明朝"/>
          <w:szCs w:val="22"/>
          <w:lang w:eastAsia="ja-JP"/>
        </w:rPr>
        <w:t xml:space="preserve"> </w:t>
      </w:r>
      <w:proofErr w:type="gramStart"/>
      <w:r w:rsidR="006354DB">
        <w:rPr>
          <w:rFonts w:eastAsia="ＭＳ 明朝"/>
          <w:szCs w:val="22"/>
          <w:lang w:eastAsia="ja-JP"/>
        </w:rPr>
        <w:t>in order to</w:t>
      </w:r>
      <w:proofErr w:type="gramEnd"/>
      <w:r w:rsidR="006354DB">
        <w:rPr>
          <w:rFonts w:eastAsia="ＭＳ 明朝"/>
          <w:szCs w:val="22"/>
          <w:lang w:eastAsia="ja-JP"/>
        </w:rPr>
        <w:t xml:space="preserve"> define the health surveillance programme adequate to cope with the situation</w:t>
      </w:r>
      <w:r w:rsidR="00C93231" w:rsidRPr="00B847B0">
        <w:rPr>
          <w:rFonts w:eastAsia="ＭＳ 明朝"/>
          <w:szCs w:val="22"/>
          <w:lang w:eastAsia="ja-JP"/>
        </w:rPr>
        <w:t>.</w:t>
      </w:r>
    </w:p>
    <w:p w14:paraId="52ADA695" w14:textId="523B91B7" w:rsidR="008828DE" w:rsidRPr="00D4395F" w:rsidRDefault="008828DE" w:rsidP="00D4395F">
      <w:pPr>
        <w:pStyle w:val="afa"/>
        <w:numPr>
          <w:ilvl w:val="2"/>
          <w:numId w:val="42"/>
        </w:numPr>
        <w:tabs>
          <w:tab w:val="left" w:pos="709"/>
        </w:tabs>
        <w:spacing w:before="240" w:after="240"/>
        <w:outlineLvl w:val="2"/>
        <w:rPr>
          <w:rFonts w:ascii="Times New Roman" w:hAnsi="Times New Roman"/>
          <w:b/>
          <w:bCs/>
          <w:sz w:val="24"/>
          <w:szCs w:val="24"/>
        </w:rPr>
      </w:pPr>
      <w:bookmarkStart w:id="81" w:name="_Toc117873840"/>
      <w:bookmarkStart w:id="82" w:name="_Toc159175960"/>
      <w:bookmarkStart w:id="83" w:name="_Toc159397480"/>
      <w:bookmarkStart w:id="84" w:name="_Hlk122101336"/>
      <w:bookmarkEnd w:id="74"/>
      <w:r w:rsidRPr="00D4395F">
        <w:rPr>
          <w:rFonts w:ascii="Times New Roman" w:hAnsi="Times New Roman"/>
          <w:b/>
          <w:bCs/>
          <w:sz w:val="24"/>
          <w:szCs w:val="24"/>
        </w:rPr>
        <w:t>Protecting the environment</w:t>
      </w:r>
      <w:bookmarkEnd w:id="81"/>
      <w:bookmarkEnd w:id="82"/>
      <w:bookmarkEnd w:id="83"/>
    </w:p>
    <w:p w14:paraId="6ADC95E4" w14:textId="00BB9EBE" w:rsidR="008828DE" w:rsidRPr="00AC33A0" w:rsidRDefault="008828DE" w:rsidP="00754334">
      <w:pPr>
        <w:numPr>
          <w:ilvl w:val="0"/>
          <w:numId w:val="13"/>
        </w:numPr>
        <w:tabs>
          <w:tab w:val="clear" w:pos="360"/>
          <w:tab w:val="num" w:pos="634"/>
          <w:tab w:val="left" w:pos="851"/>
        </w:tabs>
        <w:ind w:left="0"/>
        <w:jc w:val="both"/>
        <w:rPr>
          <w:rFonts w:eastAsia="ＭＳ 明朝"/>
          <w:szCs w:val="22"/>
          <w:lang w:eastAsia="ja-JP"/>
        </w:rPr>
      </w:pPr>
      <w:bookmarkStart w:id="85" w:name="_Hlk122100921"/>
      <w:bookmarkStart w:id="86" w:name="_Hlk122100679"/>
      <w:r w:rsidRPr="00AC33A0">
        <w:rPr>
          <w:rFonts w:eastAsia="ＭＳ 明朝"/>
          <w:szCs w:val="22"/>
          <w:lang w:eastAsia="ja-JP"/>
        </w:rPr>
        <w:t xml:space="preserve">Remediation of contaminated areas should consider </w:t>
      </w:r>
      <w:r w:rsidR="002E2760">
        <w:rPr>
          <w:rFonts w:eastAsia="ＭＳ 明朝"/>
          <w:szCs w:val="22"/>
          <w:lang w:eastAsia="ja-JP"/>
        </w:rPr>
        <w:t xml:space="preserve">the </w:t>
      </w:r>
      <w:r w:rsidRPr="00AC33A0">
        <w:rPr>
          <w:rFonts w:eastAsia="ＭＳ 明朝"/>
          <w:szCs w:val="22"/>
          <w:lang w:eastAsia="ja-JP"/>
        </w:rPr>
        <w:t xml:space="preserve">protection of human and non-human biota in an integrated manner. The approach developed by the Commission in </w:t>
      </w:r>
      <w:r w:rsidRPr="00667C97">
        <w:rPr>
          <w:rFonts w:eastAsia="ＭＳ 明朝"/>
          <w:i/>
          <w:iCs/>
          <w:szCs w:val="22"/>
          <w:lang w:eastAsia="ja-JP"/>
        </w:rPr>
        <w:t>Publication 108</w:t>
      </w:r>
      <w:r w:rsidRPr="00AC33A0">
        <w:rPr>
          <w:rFonts w:eastAsia="ＭＳ 明朝"/>
          <w:szCs w:val="22"/>
          <w:lang w:eastAsia="ja-JP"/>
        </w:rPr>
        <w:t xml:space="preserve"> (ICRP, 200</w:t>
      </w:r>
      <w:r w:rsidR="00113354">
        <w:rPr>
          <w:rFonts w:eastAsia="ＭＳ 明朝" w:hint="eastAsia"/>
          <w:szCs w:val="22"/>
          <w:lang w:eastAsia="ja-JP"/>
        </w:rPr>
        <w:t>8</w:t>
      </w:r>
      <w:r w:rsidRPr="00AC33A0">
        <w:rPr>
          <w:rFonts w:eastAsia="ＭＳ 明朝"/>
          <w:szCs w:val="22"/>
          <w:lang w:eastAsia="ja-JP"/>
        </w:rPr>
        <w:t xml:space="preserve">) and </w:t>
      </w:r>
      <w:r w:rsidRPr="00667C97">
        <w:rPr>
          <w:rFonts w:eastAsia="ＭＳ 明朝"/>
          <w:i/>
          <w:iCs/>
          <w:szCs w:val="22"/>
          <w:lang w:eastAsia="ja-JP"/>
        </w:rPr>
        <w:t>Publication 124</w:t>
      </w:r>
      <w:r w:rsidRPr="00AC33A0">
        <w:rPr>
          <w:rFonts w:eastAsia="ＭＳ 明朝"/>
          <w:szCs w:val="22"/>
          <w:lang w:eastAsia="ja-JP"/>
        </w:rPr>
        <w:t xml:space="preserve"> (ICRP, 2014</w:t>
      </w:r>
      <w:r w:rsidR="00113354">
        <w:rPr>
          <w:rFonts w:eastAsia="ＭＳ 明朝" w:hint="eastAsia"/>
          <w:szCs w:val="22"/>
          <w:lang w:eastAsia="ja-JP"/>
        </w:rPr>
        <w:t>a</w:t>
      </w:r>
      <w:r w:rsidRPr="00AC33A0">
        <w:rPr>
          <w:rFonts w:eastAsia="ＭＳ 明朝"/>
          <w:szCs w:val="22"/>
          <w:lang w:eastAsia="ja-JP"/>
        </w:rPr>
        <w:t xml:space="preserve">) describes the protection of the environment through the protection of non-human biota using a set of RAPs and </w:t>
      </w:r>
      <w:r w:rsidR="0081474B">
        <w:rPr>
          <w:rFonts w:eastAsia="ＭＳ 明朝"/>
          <w:szCs w:val="22"/>
          <w:lang w:eastAsia="ja-JP"/>
        </w:rPr>
        <w:t>d</w:t>
      </w:r>
      <w:r w:rsidRPr="00AC33A0">
        <w:rPr>
          <w:rFonts w:eastAsia="ＭＳ 明朝"/>
          <w:szCs w:val="22"/>
          <w:lang w:eastAsia="ja-JP"/>
        </w:rPr>
        <w:t xml:space="preserve">erived </w:t>
      </w:r>
      <w:r w:rsidR="0081474B">
        <w:rPr>
          <w:rFonts w:eastAsia="ＭＳ 明朝"/>
          <w:szCs w:val="22"/>
          <w:lang w:eastAsia="ja-JP"/>
        </w:rPr>
        <w:t>c</w:t>
      </w:r>
      <w:r w:rsidRPr="00AC33A0">
        <w:rPr>
          <w:rFonts w:eastAsia="ＭＳ 明朝"/>
          <w:szCs w:val="22"/>
          <w:lang w:eastAsia="ja-JP"/>
        </w:rPr>
        <w:t xml:space="preserve">onsideration </w:t>
      </w:r>
      <w:r w:rsidR="0081474B">
        <w:rPr>
          <w:rFonts w:eastAsia="ＭＳ 明朝"/>
          <w:szCs w:val="22"/>
          <w:lang w:eastAsia="ja-JP"/>
        </w:rPr>
        <w:t>r</w:t>
      </w:r>
      <w:r w:rsidRPr="00AC33A0">
        <w:rPr>
          <w:rFonts w:eastAsia="ＭＳ 明朝"/>
          <w:szCs w:val="22"/>
          <w:lang w:eastAsia="ja-JP"/>
        </w:rPr>
        <w:t>eferen</w:t>
      </w:r>
      <w:r w:rsidRPr="003F1E7B">
        <w:rPr>
          <w:rFonts w:eastAsia="ＭＳ 明朝"/>
          <w:szCs w:val="22"/>
          <w:lang w:eastAsia="ja-JP"/>
        </w:rPr>
        <w:t xml:space="preserve">ce </w:t>
      </w:r>
      <w:r w:rsidR="0081474B">
        <w:rPr>
          <w:rFonts w:eastAsia="ＭＳ 明朝"/>
          <w:szCs w:val="22"/>
          <w:lang w:eastAsia="ja-JP"/>
        </w:rPr>
        <w:t>l</w:t>
      </w:r>
      <w:r w:rsidRPr="003F1E7B">
        <w:rPr>
          <w:rFonts w:eastAsia="ＭＳ 明朝"/>
          <w:szCs w:val="22"/>
          <w:lang w:eastAsia="ja-JP"/>
        </w:rPr>
        <w:t>evels (DCRLs). The Commission recommends that the remediation process reduce exposures to levels that are within or even below the DCRL bands</w:t>
      </w:r>
      <w:r w:rsidR="007C207F" w:rsidRPr="003F1E7B">
        <w:rPr>
          <w:rFonts w:eastAsia="ＭＳ 明朝"/>
          <w:szCs w:val="22"/>
          <w:lang w:eastAsia="ja-JP"/>
        </w:rPr>
        <w:t xml:space="preserve"> </w:t>
      </w:r>
      <w:r w:rsidR="00CD029C" w:rsidRPr="003F1E7B">
        <w:rPr>
          <w:rFonts w:eastAsia="ＭＳ 明朝"/>
          <w:szCs w:val="22"/>
          <w:lang w:eastAsia="ja-JP"/>
        </w:rPr>
        <w:t>for the relevant populations,</w:t>
      </w:r>
      <w:r w:rsidR="00CD029C" w:rsidRPr="00850733">
        <w:rPr>
          <w:rFonts w:eastAsia="ＭＳ 明朝"/>
          <w:szCs w:val="22"/>
          <w:lang w:eastAsia="ja-JP"/>
        </w:rPr>
        <w:t xml:space="preserve"> </w:t>
      </w:r>
      <w:r w:rsidR="007C207F" w:rsidRPr="00E32640">
        <w:rPr>
          <w:rFonts w:eastAsia="ＭＳ 明朝"/>
          <w:szCs w:val="22"/>
          <w:lang w:eastAsia="ja-JP"/>
        </w:rPr>
        <w:t xml:space="preserve">with full </w:t>
      </w:r>
      <w:r w:rsidR="007C207F" w:rsidRPr="00AC33A0">
        <w:rPr>
          <w:rFonts w:eastAsia="ＭＳ 明朝"/>
          <w:szCs w:val="22"/>
          <w:lang w:eastAsia="ja-JP"/>
        </w:rPr>
        <w:t>consideration of the associated radiological and non-radiological consequences</w:t>
      </w:r>
      <w:r w:rsidRPr="00141EF1">
        <w:rPr>
          <w:rFonts w:eastAsia="ＭＳ 明朝"/>
          <w:szCs w:val="22"/>
          <w:lang w:eastAsia="ja-JP"/>
        </w:rPr>
        <w:t>.</w:t>
      </w:r>
      <w:r w:rsidR="00AC33A0" w:rsidRPr="00AC33A0">
        <w:t xml:space="preserve"> </w:t>
      </w:r>
      <w:r w:rsidR="00AC33A0" w:rsidRPr="00AC33A0">
        <w:rPr>
          <w:rFonts w:eastAsia="ＭＳ 明朝"/>
          <w:szCs w:val="22"/>
          <w:lang w:eastAsia="ja-JP"/>
        </w:rPr>
        <w:t xml:space="preserve">However, the Commission recognises that it may be difficult, or impractical, to </w:t>
      </w:r>
      <w:r w:rsidR="00AC33A0" w:rsidRPr="003F1E7B">
        <w:rPr>
          <w:rFonts w:eastAsia="ＭＳ 明朝"/>
          <w:szCs w:val="22"/>
          <w:lang w:eastAsia="ja-JP"/>
        </w:rPr>
        <w:t>significantly reduce the concentrations or quantities of radioactive material in the affected environment</w:t>
      </w:r>
      <w:r w:rsidR="00EB5D60">
        <w:rPr>
          <w:rFonts w:eastAsia="ＭＳ 明朝"/>
          <w:szCs w:val="22"/>
          <w:lang w:eastAsia="ja-JP"/>
        </w:rPr>
        <w:t xml:space="preserve"> (ICRP, 2014</w:t>
      </w:r>
      <w:r w:rsidR="00113354">
        <w:rPr>
          <w:rFonts w:eastAsia="ＭＳ 明朝" w:hint="eastAsia"/>
          <w:szCs w:val="22"/>
          <w:lang w:eastAsia="ja-JP"/>
        </w:rPr>
        <w:t>a</w:t>
      </w:r>
      <w:r w:rsidR="00EB5D60">
        <w:rPr>
          <w:rFonts w:eastAsia="ＭＳ 明朝"/>
          <w:szCs w:val="22"/>
          <w:lang w:eastAsia="ja-JP"/>
        </w:rPr>
        <w:t>)</w:t>
      </w:r>
      <w:r w:rsidR="00AC33A0">
        <w:rPr>
          <w:rFonts w:eastAsia="ＭＳ 明朝"/>
          <w:szCs w:val="22"/>
          <w:lang w:eastAsia="ja-JP"/>
        </w:rPr>
        <w:t>.</w:t>
      </w:r>
    </w:p>
    <w:p w14:paraId="2B6F3E05" w14:textId="14F2B6A7" w:rsidR="008828DE" w:rsidRPr="006354DB" w:rsidRDefault="008828DE" w:rsidP="008956E3">
      <w:pPr>
        <w:numPr>
          <w:ilvl w:val="0"/>
          <w:numId w:val="13"/>
        </w:numPr>
        <w:tabs>
          <w:tab w:val="clear" w:pos="360"/>
          <w:tab w:val="num" w:pos="634"/>
          <w:tab w:val="left" w:pos="851"/>
        </w:tabs>
        <w:ind w:left="0"/>
        <w:jc w:val="both"/>
        <w:rPr>
          <w:rFonts w:eastAsia="ＭＳ 明朝"/>
          <w:lang w:eastAsia="ja-JP"/>
        </w:rPr>
      </w:pPr>
      <w:r w:rsidRPr="006354DB">
        <w:rPr>
          <w:rFonts w:eastAsia="ＭＳ 明朝"/>
          <w:szCs w:val="22"/>
          <w:lang w:eastAsia="ja-JP"/>
        </w:rPr>
        <w:t>The potential for environmental risk may be an important factor in decision making because some remediation technologies are more likely than others to produce adverse impacts on ecological receptors, including habitat disruption</w:t>
      </w:r>
      <w:r w:rsidR="00C76D0C" w:rsidRPr="006354DB">
        <w:rPr>
          <w:rFonts w:eastAsia="ＭＳ 明朝"/>
          <w:szCs w:val="22"/>
          <w:lang w:eastAsia="ja-JP"/>
        </w:rPr>
        <w:t xml:space="preserve"> (</w:t>
      </w:r>
      <w:r w:rsidR="00F858F4" w:rsidRPr="006354DB">
        <w:rPr>
          <w:rFonts w:eastAsia="ＭＳ 明朝"/>
          <w:szCs w:val="22"/>
          <w:lang w:eastAsia="ja-JP"/>
        </w:rPr>
        <w:t xml:space="preserve">e.g. </w:t>
      </w:r>
      <w:r w:rsidR="00C76D0C" w:rsidRPr="006354DB">
        <w:rPr>
          <w:rFonts w:eastAsia="ＭＳ 明朝"/>
          <w:szCs w:val="22"/>
          <w:lang w:eastAsia="ja-JP"/>
        </w:rPr>
        <w:t>soil</w:t>
      </w:r>
      <w:r w:rsidR="00692EB2" w:rsidRPr="006354DB">
        <w:rPr>
          <w:rFonts w:eastAsia="ＭＳ 明朝"/>
          <w:szCs w:val="22"/>
          <w:lang w:eastAsia="ja-JP"/>
        </w:rPr>
        <w:t xml:space="preserve"> removal can </w:t>
      </w:r>
      <w:r w:rsidR="00D95E02">
        <w:rPr>
          <w:rFonts w:eastAsia="ＭＳ 明朝"/>
          <w:szCs w:val="22"/>
          <w:lang w:eastAsia="ja-JP"/>
        </w:rPr>
        <w:t>destroy</w:t>
      </w:r>
      <w:r w:rsidR="00692EB2" w:rsidRPr="006354DB">
        <w:rPr>
          <w:rFonts w:eastAsia="ＭＳ 明朝"/>
          <w:szCs w:val="22"/>
          <w:lang w:eastAsia="ja-JP"/>
        </w:rPr>
        <w:t xml:space="preserve"> natural </w:t>
      </w:r>
      <w:r w:rsidR="00C76D0C" w:rsidRPr="006354DB">
        <w:rPr>
          <w:rFonts w:eastAsia="ＭＳ 明朝"/>
          <w:szCs w:val="22"/>
          <w:lang w:eastAsia="ja-JP"/>
        </w:rPr>
        <w:t xml:space="preserve">habitats) </w:t>
      </w:r>
      <w:r w:rsidRPr="006354DB">
        <w:rPr>
          <w:rFonts w:eastAsia="ＭＳ 明朝"/>
          <w:szCs w:val="22"/>
          <w:lang w:eastAsia="ja-JP"/>
        </w:rPr>
        <w:t xml:space="preserve">or damage to natural resources. </w:t>
      </w:r>
      <w:r w:rsidR="00F858F4" w:rsidRPr="006354DB">
        <w:rPr>
          <w:rFonts w:eastAsia="ＭＳ 明朝"/>
          <w:szCs w:val="22"/>
          <w:lang w:eastAsia="ja-JP"/>
        </w:rPr>
        <w:t xml:space="preserve">Environmental </w:t>
      </w:r>
      <w:r w:rsidR="006354DB">
        <w:rPr>
          <w:rFonts w:eastAsia="ＭＳ 明朝"/>
          <w:szCs w:val="22"/>
          <w:lang w:eastAsia="ja-JP"/>
        </w:rPr>
        <w:t xml:space="preserve">radiological </w:t>
      </w:r>
      <w:r w:rsidR="00F858F4" w:rsidRPr="006354DB">
        <w:rPr>
          <w:rFonts w:eastAsia="ＭＳ 明朝"/>
          <w:szCs w:val="22"/>
          <w:lang w:eastAsia="ja-JP"/>
        </w:rPr>
        <w:t xml:space="preserve">protection includes more than protecting </w:t>
      </w:r>
      <w:r w:rsidRPr="006354DB">
        <w:rPr>
          <w:rFonts w:eastAsia="ＭＳ 明朝"/>
          <w:szCs w:val="22"/>
          <w:lang w:eastAsia="ja-JP"/>
        </w:rPr>
        <w:t>flora and fauna</w:t>
      </w:r>
      <w:r w:rsidR="00F858F4" w:rsidRPr="006354DB">
        <w:rPr>
          <w:rFonts w:eastAsia="ＭＳ 明朝"/>
          <w:szCs w:val="22"/>
          <w:lang w:eastAsia="ja-JP"/>
        </w:rPr>
        <w:t xml:space="preserve">. It includes </w:t>
      </w:r>
      <w:r w:rsidR="00443200">
        <w:rPr>
          <w:rFonts w:eastAsia="ＭＳ 明朝"/>
          <w:szCs w:val="22"/>
          <w:lang w:eastAsia="ja-JP"/>
        </w:rPr>
        <w:t xml:space="preserve">the </w:t>
      </w:r>
      <w:r w:rsidR="003D67CC" w:rsidRPr="006354DB">
        <w:rPr>
          <w:rFonts w:eastAsia="ＭＳ 明朝"/>
          <w:szCs w:val="22"/>
          <w:lang w:eastAsia="ja-JP"/>
        </w:rPr>
        <w:t>cons</w:t>
      </w:r>
      <w:r w:rsidR="0022117A" w:rsidRPr="006354DB">
        <w:rPr>
          <w:rFonts w:eastAsia="ＭＳ 明朝"/>
          <w:szCs w:val="22"/>
          <w:lang w:eastAsia="ja-JP"/>
        </w:rPr>
        <w:t>ervation</w:t>
      </w:r>
      <w:r w:rsidR="003D67CC" w:rsidRPr="006354DB">
        <w:rPr>
          <w:rFonts w:eastAsia="ＭＳ 明朝"/>
          <w:szCs w:val="22"/>
          <w:lang w:eastAsia="ja-JP"/>
        </w:rPr>
        <w:t xml:space="preserve"> of </w:t>
      </w:r>
      <w:r w:rsidRPr="006354DB">
        <w:rPr>
          <w:rFonts w:eastAsia="ＭＳ 明朝"/>
          <w:szCs w:val="22"/>
          <w:lang w:eastAsia="ja-JP"/>
        </w:rPr>
        <w:t xml:space="preserve">other </w:t>
      </w:r>
      <w:r w:rsidR="00443200">
        <w:rPr>
          <w:rFonts w:eastAsia="ＭＳ 明朝"/>
          <w:szCs w:val="22"/>
          <w:lang w:eastAsia="ja-JP"/>
        </w:rPr>
        <w:t>ecosystem c</w:t>
      </w:r>
      <w:r w:rsidRPr="006354DB">
        <w:rPr>
          <w:rFonts w:eastAsia="ＭＳ 明朝"/>
          <w:szCs w:val="22"/>
          <w:lang w:eastAsia="ja-JP"/>
        </w:rPr>
        <w:t xml:space="preserve">omponents </w:t>
      </w:r>
      <w:r w:rsidR="00443200">
        <w:rPr>
          <w:rFonts w:eastAsia="ＭＳ 明朝"/>
          <w:szCs w:val="22"/>
          <w:lang w:eastAsia="ja-JP"/>
        </w:rPr>
        <w:t>s</w:t>
      </w:r>
      <w:r w:rsidRPr="006354DB">
        <w:rPr>
          <w:rFonts w:eastAsia="ＭＳ 明朝"/>
          <w:szCs w:val="22"/>
          <w:lang w:eastAsia="ja-JP"/>
        </w:rPr>
        <w:t>uch as air, water, soils, sediments</w:t>
      </w:r>
      <w:r w:rsidR="0052330F">
        <w:rPr>
          <w:rFonts w:eastAsia="ＭＳ 明朝"/>
          <w:szCs w:val="22"/>
          <w:lang w:eastAsia="ja-JP"/>
        </w:rPr>
        <w:t>,</w:t>
      </w:r>
      <w:r w:rsidRPr="006354DB">
        <w:rPr>
          <w:rFonts w:eastAsia="ＭＳ 明朝"/>
          <w:szCs w:val="22"/>
          <w:lang w:eastAsia="ja-JP"/>
        </w:rPr>
        <w:t xml:space="preserve"> and habitats. </w:t>
      </w:r>
      <w:r w:rsidR="00F56456" w:rsidRPr="006354DB">
        <w:rPr>
          <w:rFonts w:eastAsia="ＭＳ 明朝"/>
          <w:szCs w:val="22"/>
          <w:lang w:eastAsia="ja-JP"/>
        </w:rPr>
        <w:t>Protection of aquifers for drinking water is, for instance, very important for stakeholders</w:t>
      </w:r>
      <w:r w:rsidR="006354DB">
        <w:rPr>
          <w:rFonts w:eastAsia="ＭＳ 明朝"/>
          <w:szCs w:val="22"/>
          <w:lang w:eastAsia="ja-JP"/>
        </w:rPr>
        <w:t>.</w:t>
      </w:r>
    </w:p>
    <w:p w14:paraId="65AB18C3" w14:textId="6CBA5AFF" w:rsidR="008828DE" w:rsidRPr="006354DB" w:rsidRDefault="00EE356C" w:rsidP="008956E3">
      <w:pPr>
        <w:numPr>
          <w:ilvl w:val="0"/>
          <w:numId w:val="13"/>
        </w:numPr>
        <w:tabs>
          <w:tab w:val="clear" w:pos="360"/>
          <w:tab w:val="num" w:pos="634"/>
          <w:tab w:val="left" w:pos="851"/>
        </w:tabs>
        <w:ind w:left="0"/>
        <w:jc w:val="both"/>
        <w:rPr>
          <w:rFonts w:eastAsia="ＭＳ 明朝"/>
          <w:lang w:eastAsia="ja-JP"/>
        </w:rPr>
      </w:pPr>
      <w:proofErr w:type="gramStart"/>
      <w:r w:rsidRPr="006354DB">
        <w:rPr>
          <w:rFonts w:eastAsia="ＭＳ 明朝"/>
          <w:szCs w:val="22"/>
          <w:lang w:eastAsia="ja-JP"/>
        </w:rPr>
        <w:t>With regard to</w:t>
      </w:r>
      <w:proofErr w:type="gramEnd"/>
      <w:r w:rsidRPr="006354DB">
        <w:rPr>
          <w:rFonts w:eastAsia="ＭＳ 明朝"/>
          <w:szCs w:val="22"/>
          <w:lang w:eastAsia="ja-JP"/>
        </w:rPr>
        <w:t xml:space="preserve"> radi</w:t>
      </w:r>
      <w:r w:rsidR="006354DB">
        <w:rPr>
          <w:rFonts w:eastAsia="ＭＳ 明朝"/>
          <w:szCs w:val="22"/>
          <w:lang w:eastAsia="ja-JP"/>
        </w:rPr>
        <w:t>ological</w:t>
      </w:r>
      <w:r w:rsidRPr="006354DB">
        <w:rPr>
          <w:rFonts w:eastAsia="ＭＳ 明朝"/>
          <w:szCs w:val="22"/>
          <w:lang w:eastAsia="ja-JP"/>
        </w:rPr>
        <w:t xml:space="preserve"> protection of the environment, </w:t>
      </w:r>
      <w:r w:rsidR="00DA04A0" w:rsidRPr="006354DB">
        <w:rPr>
          <w:rFonts w:eastAsia="ＭＳ 明朝"/>
          <w:szCs w:val="22"/>
          <w:lang w:eastAsia="ja-JP"/>
        </w:rPr>
        <w:t>t</w:t>
      </w:r>
      <w:r w:rsidR="00DA04A0" w:rsidRPr="008956E3">
        <w:rPr>
          <w:rFonts w:eastAsia="ＭＳ 明朝"/>
          <w:szCs w:val="22"/>
          <w:lang w:eastAsia="ja-JP"/>
        </w:rPr>
        <w:t>here has been increasing interest in incorporating ecosystem services monitoring and assessment in many contexts related to environmental protection and policymaking.</w:t>
      </w:r>
      <w:r w:rsidRPr="006354DB">
        <w:rPr>
          <w:rFonts w:eastAsia="ＭＳ 明朝"/>
          <w:szCs w:val="22"/>
          <w:lang w:eastAsia="ja-JP"/>
        </w:rPr>
        <w:t xml:space="preserve"> </w:t>
      </w:r>
      <w:r w:rsidR="008828DE" w:rsidRPr="006354DB">
        <w:rPr>
          <w:rFonts w:eastAsia="ＭＳ 明朝"/>
          <w:szCs w:val="22"/>
          <w:lang w:eastAsia="ja-JP"/>
        </w:rPr>
        <w:t>Ecosystem services are defined as the benefits human</w:t>
      </w:r>
      <w:r w:rsidR="00CB5721">
        <w:rPr>
          <w:rFonts w:eastAsia="ＭＳ 明朝"/>
          <w:szCs w:val="22"/>
          <w:lang w:eastAsia="ja-JP"/>
        </w:rPr>
        <w:t>s</w:t>
      </w:r>
      <w:r w:rsidR="008828DE" w:rsidRPr="006354DB">
        <w:rPr>
          <w:rFonts w:eastAsia="ＭＳ 明朝"/>
          <w:szCs w:val="22"/>
          <w:lang w:eastAsia="ja-JP"/>
        </w:rPr>
        <w:t xml:space="preserve"> derive from the workings of the natural world</w:t>
      </w:r>
      <w:r w:rsidR="000E397B">
        <w:rPr>
          <w:rFonts w:eastAsia="ＭＳ 明朝"/>
          <w:szCs w:val="22"/>
          <w:lang w:eastAsia="ja-JP"/>
        </w:rPr>
        <w:t xml:space="preserve">. </w:t>
      </w:r>
      <w:r w:rsidR="00CB7E13">
        <w:rPr>
          <w:rFonts w:eastAsia="ＭＳ 明朝"/>
          <w:szCs w:val="22"/>
          <w:lang w:eastAsia="ja-JP"/>
        </w:rPr>
        <w:t xml:space="preserve">Examples include </w:t>
      </w:r>
      <w:r w:rsidR="008828DE" w:rsidRPr="006354DB">
        <w:rPr>
          <w:rFonts w:eastAsia="ＭＳ 明朝"/>
          <w:szCs w:val="22"/>
          <w:lang w:eastAsia="ja-JP"/>
        </w:rPr>
        <w:t>providing nutritious foods and clean water</w:t>
      </w:r>
      <w:r w:rsidR="007E29B7">
        <w:rPr>
          <w:rFonts w:eastAsia="ＭＳ 明朝"/>
          <w:szCs w:val="22"/>
          <w:lang w:eastAsia="ja-JP"/>
        </w:rPr>
        <w:t>,</w:t>
      </w:r>
      <w:r w:rsidR="008828DE" w:rsidRPr="006354DB">
        <w:rPr>
          <w:rFonts w:eastAsia="ＭＳ 明朝"/>
          <w:szCs w:val="22"/>
          <w:lang w:eastAsia="ja-JP"/>
        </w:rPr>
        <w:t xml:space="preserve"> regulating disease and climate</w:t>
      </w:r>
      <w:r w:rsidR="007E29B7">
        <w:rPr>
          <w:rFonts w:eastAsia="ＭＳ 明朝"/>
          <w:szCs w:val="22"/>
          <w:lang w:eastAsia="ja-JP"/>
        </w:rPr>
        <w:t>,</w:t>
      </w:r>
      <w:r w:rsidR="008828DE" w:rsidRPr="006354DB">
        <w:rPr>
          <w:rFonts w:eastAsia="ＭＳ 明朝"/>
          <w:szCs w:val="22"/>
          <w:lang w:eastAsia="ja-JP"/>
        </w:rPr>
        <w:t xml:space="preserve"> supporting crop pollination and soil formation</w:t>
      </w:r>
      <w:r w:rsidR="007E29B7">
        <w:rPr>
          <w:rFonts w:eastAsia="ＭＳ 明朝"/>
          <w:szCs w:val="22"/>
          <w:lang w:eastAsia="ja-JP"/>
        </w:rPr>
        <w:t>,</w:t>
      </w:r>
      <w:r w:rsidR="008828DE" w:rsidRPr="006354DB">
        <w:rPr>
          <w:rFonts w:eastAsia="ＭＳ 明朝"/>
          <w:szCs w:val="22"/>
          <w:lang w:eastAsia="ja-JP"/>
        </w:rPr>
        <w:t xml:space="preserve"> and offering recreational, cultural, and spiritual benefits.</w:t>
      </w:r>
      <w:r w:rsidR="00F56456" w:rsidRPr="006354DB">
        <w:rPr>
          <w:rFonts w:eastAsia="ＭＳ 明朝"/>
          <w:szCs w:val="22"/>
          <w:lang w:eastAsia="ja-JP"/>
        </w:rPr>
        <w:t xml:space="preserve"> </w:t>
      </w:r>
      <w:r w:rsidR="00D21C82" w:rsidRPr="006354DB">
        <w:rPr>
          <w:rFonts w:eastAsia="ＭＳ 明朝"/>
          <w:szCs w:val="22"/>
          <w:lang w:eastAsia="ja-JP"/>
        </w:rPr>
        <w:t>E</w:t>
      </w:r>
      <w:r w:rsidR="006405F1" w:rsidRPr="006354DB">
        <w:rPr>
          <w:rFonts w:eastAsia="ＭＳ 明朝"/>
          <w:szCs w:val="22"/>
          <w:lang w:eastAsia="ja-JP"/>
        </w:rPr>
        <w:t xml:space="preserve">cosystem services </w:t>
      </w:r>
      <w:r w:rsidR="00143679" w:rsidRPr="006354DB">
        <w:rPr>
          <w:rFonts w:eastAsia="ＭＳ 明朝"/>
          <w:szCs w:val="22"/>
          <w:lang w:eastAsia="ja-JP"/>
        </w:rPr>
        <w:t xml:space="preserve">have been considered </w:t>
      </w:r>
      <w:r w:rsidR="006405F1" w:rsidRPr="006354DB">
        <w:rPr>
          <w:rFonts w:eastAsia="ＭＳ 明朝"/>
          <w:szCs w:val="22"/>
          <w:lang w:eastAsia="ja-JP"/>
        </w:rPr>
        <w:t xml:space="preserve">as part of </w:t>
      </w:r>
      <w:r w:rsidR="00960DB4" w:rsidRPr="006354DB">
        <w:rPr>
          <w:rFonts w:eastAsia="ＭＳ 明朝"/>
          <w:szCs w:val="22"/>
          <w:lang w:eastAsia="ja-JP"/>
        </w:rPr>
        <w:t>baseline studies</w:t>
      </w:r>
      <w:r w:rsidR="00143679" w:rsidRPr="006354DB">
        <w:rPr>
          <w:rFonts w:eastAsia="ＭＳ 明朝"/>
          <w:szCs w:val="22"/>
          <w:lang w:eastAsia="ja-JP"/>
        </w:rPr>
        <w:t xml:space="preserve"> of specific projects, </w:t>
      </w:r>
      <w:r w:rsidR="00960DB4" w:rsidRPr="006354DB">
        <w:rPr>
          <w:rFonts w:eastAsia="ＭＳ 明朝"/>
          <w:szCs w:val="22"/>
          <w:lang w:eastAsia="ja-JP"/>
        </w:rPr>
        <w:t>designed to asses</w:t>
      </w:r>
      <w:r w:rsidR="00200136" w:rsidRPr="006354DB">
        <w:rPr>
          <w:rFonts w:eastAsia="ＭＳ 明朝"/>
          <w:szCs w:val="22"/>
          <w:lang w:eastAsia="ja-JP"/>
        </w:rPr>
        <w:t>s</w:t>
      </w:r>
      <w:r w:rsidR="009303FD" w:rsidRPr="006354DB">
        <w:rPr>
          <w:rFonts w:eastAsia="ＭＳ 明朝"/>
          <w:szCs w:val="22"/>
          <w:lang w:eastAsia="ja-JP"/>
        </w:rPr>
        <w:t xml:space="preserve"> whole impact studies</w:t>
      </w:r>
      <w:r w:rsidR="00DB7DFA" w:rsidRPr="006354DB">
        <w:rPr>
          <w:rFonts w:eastAsia="ＭＳ 明朝"/>
          <w:szCs w:val="22"/>
          <w:lang w:eastAsia="ja-JP"/>
        </w:rPr>
        <w:t>,</w:t>
      </w:r>
      <w:r w:rsidR="00960DB4" w:rsidRPr="006354DB">
        <w:rPr>
          <w:rFonts w:eastAsia="ＭＳ 明朝"/>
          <w:szCs w:val="22"/>
          <w:lang w:eastAsia="ja-JP"/>
        </w:rPr>
        <w:t xml:space="preserve"> where </w:t>
      </w:r>
      <w:r w:rsidR="009C5692" w:rsidRPr="006354DB">
        <w:rPr>
          <w:rFonts w:eastAsia="ＭＳ 明朝"/>
          <w:szCs w:val="22"/>
          <w:lang w:eastAsia="ja-JP"/>
        </w:rPr>
        <w:t>relevant biodiversity values are examined (e.g. studies of fish, vegetation, and wildlife) alongside a growing understanding of the human uses of the area (cultural services, social, economic and</w:t>
      </w:r>
      <w:r w:rsidR="003748F8" w:rsidRPr="006354DB">
        <w:rPr>
          <w:rFonts w:eastAsia="ＭＳ 明朝"/>
          <w:szCs w:val="22"/>
          <w:lang w:eastAsia="ja-JP"/>
        </w:rPr>
        <w:t xml:space="preserve"> health impact studies</w:t>
      </w:r>
      <w:r w:rsidR="00EA7238" w:rsidRPr="006354DB">
        <w:rPr>
          <w:rFonts w:eastAsia="ＭＳ 明朝"/>
          <w:szCs w:val="22"/>
          <w:lang w:eastAsia="ja-JP"/>
        </w:rPr>
        <w:t>)</w:t>
      </w:r>
      <w:r w:rsidR="00DB7DFA" w:rsidRPr="006354DB">
        <w:rPr>
          <w:rFonts w:eastAsia="ＭＳ 明朝"/>
          <w:szCs w:val="22"/>
          <w:lang w:eastAsia="ja-JP"/>
        </w:rPr>
        <w:t xml:space="preserve"> to determine those services that could be negatively impacted by the project to be performed. Moreover, discussions </w:t>
      </w:r>
      <w:r w:rsidR="00F15783" w:rsidRPr="006354DB">
        <w:rPr>
          <w:rFonts w:eastAsia="ＭＳ 明朝"/>
          <w:szCs w:val="22"/>
          <w:lang w:eastAsia="ja-JP"/>
        </w:rPr>
        <w:t>are</w:t>
      </w:r>
      <w:r w:rsidR="00DB7DFA" w:rsidRPr="006354DB">
        <w:rPr>
          <w:rFonts w:eastAsia="ＭＳ 明朝"/>
          <w:szCs w:val="22"/>
          <w:lang w:eastAsia="ja-JP"/>
        </w:rPr>
        <w:t xml:space="preserve"> maintained </w:t>
      </w:r>
      <w:r w:rsidR="009C5692" w:rsidRPr="006354DB">
        <w:rPr>
          <w:rFonts w:eastAsia="ＭＳ 明朝"/>
          <w:szCs w:val="22"/>
          <w:lang w:eastAsia="ja-JP"/>
        </w:rPr>
        <w:t xml:space="preserve">with </w:t>
      </w:r>
      <w:r w:rsidR="00381963" w:rsidRPr="006354DB">
        <w:rPr>
          <w:rFonts w:eastAsia="ＭＳ 明朝"/>
          <w:szCs w:val="22"/>
          <w:lang w:eastAsia="ja-JP"/>
        </w:rPr>
        <w:t>i</w:t>
      </w:r>
      <w:r w:rsidR="009C5692" w:rsidRPr="006354DB">
        <w:rPr>
          <w:rFonts w:eastAsia="ＭＳ 明朝"/>
          <w:szCs w:val="22"/>
          <w:lang w:eastAsia="ja-JP"/>
        </w:rPr>
        <w:t>ndigenous communities and local stakeholder</w:t>
      </w:r>
      <w:r w:rsidR="001829B3">
        <w:rPr>
          <w:rFonts w:eastAsia="ＭＳ 明朝"/>
          <w:szCs w:val="22"/>
          <w:lang w:eastAsia="ja-JP"/>
        </w:rPr>
        <w:t>s</w:t>
      </w:r>
      <w:r w:rsidR="00200136" w:rsidRPr="006354DB">
        <w:rPr>
          <w:rFonts w:eastAsia="ＭＳ 明朝"/>
          <w:szCs w:val="22"/>
          <w:lang w:eastAsia="ja-JP"/>
        </w:rPr>
        <w:t xml:space="preserve"> to determine community values and concerns</w:t>
      </w:r>
      <w:r w:rsidR="00241140" w:rsidRPr="006354DB">
        <w:rPr>
          <w:rFonts w:eastAsia="ＭＳ 明朝"/>
          <w:szCs w:val="22"/>
          <w:lang w:eastAsia="ja-JP"/>
        </w:rPr>
        <w:t xml:space="preserve"> </w:t>
      </w:r>
      <w:r w:rsidR="00264B79">
        <w:rPr>
          <w:rFonts w:eastAsia="ＭＳ 明朝"/>
          <w:szCs w:val="22"/>
          <w:lang w:eastAsia="ja-JP"/>
        </w:rPr>
        <w:t>(</w:t>
      </w:r>
      <w:proofErr w:type="spellStart"/>
      <w:r w:rsidR="001D5CDD" w:rsidRPr="006354DB">
        <w:rPr>
          <w:rFonts w:eastAsia="ＭＳ 明朝"/>
          <w:szCs w:val="22"/>
          <w:lang w:eastAsia="ja-JP"/>
        </w:rPr>
        <w:t>Zoetic</w:t>
      </w:r>
      <w:r w:rsidR="00381963" w:rsidRPr="006354DB">
        <w:rPr>
          <w:rFonts w:eastAsia="ＭＳ 明朝"/>
          <w:szCs w:val="22"/>
          <w:lang w:eastAsia="ja-JP"/>
        </w:rPr>
        <w:t>a</w:t>
      </w:r>
      <w:proofErr w:type="spellEnd"/>
      <w:r w:rsidR="001D5CDD" w:rsidRPr="006354DB">
        <w:rPr>
          <w:rFonts w:eastAsia="ＭＳ 明朝"/>
          <w:szCs w:val="22"/>
          <w:lang w:eastAsia="ja-JP"/>
        </w:rPr>
        <w:t>, 2021</w:t>
      </w:r>
      <w:r w:rsidR="00E44151">
        <w:rPr>
          <w:rFonts w:eastAsia="ＭＳ 明朝"/>
          <w:szCs w:val="22"/>
          <w:lang w:eastAsia="ja-JP"/>
        </w:rPr>
        <w:t>)</w:t>
      </w:r>
      <w:r w:rsidR="00DB7DFA" w:rsidRPr="006354DB">
        <w:rPr>
          <w:rFonts w:eastAsia="ＭＳ 明朝"/>
          <w:szCs w:val="22"/>
          <w:lang w:eastAsia="ja-JP"/>
        </w:rPr>
        <w:t xml:space="preserve">. </w:t>
      </w:r>
      <w:r w:rsidR="008837F7" w:rsidRPr="006354DB">
        <w:rPr>
          <w:rFonts w:eastAsia="ＭＳ 明朝"/>
          <w:szCs w:val="22"/>
          <w:lang w:eastAsia="ja-JP"/>
        </w:rPr>
        <w:t xml:space="preserve">There are </w:t>
      </w:r>
      <w:r w:rsidR="00EF346C" w:rsidRPr="006354DB">
        <w:rPr>
          <w:rFonts w:eastAsia="ＭＳ 明朝"/>
          <w:szCs w:val="22"/>
          <w:lang w:eastAsia="ja-JP"/>
        </w:rPr>
        <w:t xml:space="preserve">also </w:t>
      </w:r>
      <w:r w:rsidR="008837F7" w:rsidRPr="006354DB">
        <w:rPr>
          <w:rFonts w:eastAsia="ＭＳ 明朝"/>
          <w:szCs w:val="22"/>
          <w:lang w:eastAsia="ja-JP"/>
        </w:rPr>
        <w:t>examples of standards for ecological restoration</w:t>
      </w:r>
      <w:r w:rsidR="00EF346C" w:rsidRPr="006354DB">
        <w:rPr>
          <w:rFonts w:eastAsia="ＭＳ 明朝"/>
          <w:szCs w:val="22"/>
          <w:lang w:eastAsia="ja-JP"/>
        </w:rPr>
        <w:t xml:space="preserve"> in which </w:t>
      </w:r>
      <w:r w:rsidR="004A3DD5" w:rsidRPr="006354DB">
        <w:rPr>
          <w:rFonts w:eastAsia="ＭＳ 明朝"/>
          <w:szCs w:val="22"/>
          <w:lang w:eastAsia="ja-JP"/>
        </w:rPr>
        <w:t>t</w:t>
      </w:r>
      <w:r w:rsidR="008837F7" w:rsidRPr="006354DB">
        <w:rPr>
          <w:rFonts w:eastAsia="ＭＳ 明朝"/>
          <w:szCs w:val="22"/>
          <w:lang w:eastAsia="ja-JP"/>
        </w:rPr>
        <w:t xml:space="preserve">he </w:t>
      </w:r>
      <w:r w:rsidR="00381963" w:rsidRPr="006354DB">
        <w:rPr>
          <w:rFonts w:eastAsia="ＭＳ 明朝"/>
          <w:szCs w:val="22"/>
          <w:lang w:eastAsia="ja-JP"/>
        </w:rPr>
        <w:t>i</w:t>
      </w:r>
      <w:r w:rsidR="008837F7" w:rsidRPr="006354DB">
        <w:rPr>
          <w:rFonts w:eastAsia="ＭＳ 明朝"/>
          <w:szCs w:val="22"/>
          <w:lang w:eastAsia="ja-JP"/>
        </w:rPr>
        <w:t xml:space="preserve">dentification of a reference ecosystem involves analysis of the composition (species), structure (complexity and configuration) and function (processes and dynamics) of the ecosystem to be restored on the site </w:t>
      </w:r>
      <w:r w:rsidR="004F322D">
        <w:rPr>
          <w:rFonts w:eastAsia="ＭＳ 明朝"/>
          <w:szCs w:val="22"/>
          <w:lang w:eastAsia="ja-JP"/>
        </w:rPr>
        <w:t>(</w:t>
      </w:r>
      <w:r w:rsidR="008837F7" w:rsidRPr="006354DB">
        <w:rPr>
          <w:rFonts w:eastAsia="ＭＳ 明朝"/>
          <w:szCs w:val="22"/>
          <w:lang w:eastAsia="ja-JP"/>
        </w:rPr>
        <w:t>SERA, 2017</w:t>
      </w:r>
      <w:r w:rsidR="004F322D">
        <w:rPr>
          <w:rFonts w:eastAsia="ＭＳ 明朝"/>
          <w:szCs w:val="22"/>
          <w:lang w:eastAsia="ja-JP"/>
        </w:rPr>
        <w:t>)</w:t>
      </w:r>
      <w:r w:rsidR="008837F7" w:rsidRPr="006354DB">
        <w:rPr>
          <w:rFonts w:eastAsia="ＭＳ 明朝"/>
          <w:szCs w:val="22"/>
          <w:lang w:eastAsia="ja-JP"/>
        </w:rPr>
        <w:t xml:space="preserve">. </w:t>
      </w:r>
      <w:r w:rsidR="00AB50A7" w:rsidRPr="006354DB">
        <w:rPr>
          <w:rFonts w:eastAsia="ＭＳ 明朝"/>
          <w:szCs w:val="22"/>
          <w:lang w:eastAsia="ja-JP"/>
        </w:rPr>
        <w:t>Ecosy</w:t>
      </w:r>
      <w:r w:rsidR="000C6BCE" w:rsidRPr="006354DB">
        <w:rPr>
          <w:rFonts w:eastAsia="ＭＳ 明朝"/>
          <w:szCs w:val="22"/>
          <w:lang w:eastAsia="ja-JP"/>
        </w:rPr>
        <w:t>stem services may</w:t>
      </w:r>
      <w:r w:rsidR="00AB50A7" w:rsidRPr="006354DB">
        <w:rPr>
          <w:rFonts w:eastAsia="ＭＳ 明朝"/>
          <w:szCs w:val="22"/>
          <w:lang w:eastAsia="ja-JP"/>
        </w:rPr>
        <w:t xml:space="preserve"> support a more holistic </w:t>
      </w:r>
      <w:r w:rsidR="00F56456" w:rsidRPr="006354DB">
        <w:rPr>
          <w:rFonts w:eastAsia="ＭＳ 明朝"/>
          <w:szCs w:val="22"/>
          <w:lang w:eastAsia="ja-JP"/>
        </w:rPr>
        <w:t xml:space="preserve">approach </w:t>
      </w:r>
      <w:r w:rsidR="00AB50A7" w:rsidRPr="006354DB">
        <w:rPr>
          <w:rFonts w:eastAsia="ＭＳ 明朝"/>
          <w:szCs w:val="22"/>
          <w:lang w:eastAsia="ja-JP"/>
        </w:rPr>
        <w:t>that c</w:t>
      </w:r>
      <w:r w:rsidR="00F56456" w:rsidRPr="006354DB">
        <w:rPr>
          <w:rFonts w:eastAsia="ＭＳ 明朝"/>
          <w:szCs w:val="22"/>
          <w:lang w:eastAsia="ja-JP"/>
        </w:rPr>
        <w:t xml:space="preserve">ould be used </w:t>
      </w:r>
      <w:r w:rsidR="00AB50A7" w:rsidRPr="006354DB">
        <w:rPr>
          <w:rFonts w:eastAsia="ＭＳ 明朝"/>
          <w:szCs w:val="22"/>
          <w:lang w:eastAsia="ja-JP"/>
        </w:rPr>
        <w:t xml:space="preserve">in the decision-making process </w:t>
      </w:r>
      <w:r w:rsidR="004F322D">
        <w:rPr>
          <w:rFonts w:eastAsia="ＭＳ 明朝"/>
          <w:szCs w:val="22"/>
          <w:lang w:eastAsia="ja-JP"/>
        </w:rPr>
        <w:t>(</w:t>
      </w:r>
      <w:r w:rsidR="00EB0264" w:rsidRPr="006354DB">
        <w:rPr>
          <w:rFonts w:eastAsia="ＭＳ 明朝"/>
          <w:szCs w:val="22"/>
          <w:lang w:eastAsia="ja-JP"/>
        </w:rPr>
        <w:t>Martinez, 202</w:t>
      </w:r>
      <w:r w:rsidR="009807AD">
        <w:rPr>
          <w:rFonts w:eastAsia="ＭＳ 明朝"/>
          <w:szCs w:val="22"/>
          <w:lang w:eastAsia="ja-JP"/>
        </w:rPr>
        <w:t>3</w:t>
      </w:r>
      <w:r w:rsidR="004F322D">
        <w:rPr>
          <w:rFonts w:eastAsia="ＭＳ 明朝"/>
          <w:szCs w:val="22"/>
          <w:lang w:eastAsia="ja-JP"/>
        </w:rPr>
        <w:t>)</w:t>
      </w:r>
      <w:r w:rsidR="001C0C8D" w:rsidRPr="006354DB">
        <w:rPr>
          <w:rFonts w:eastAsia="ＭＳ 明朝"/>
          <w:szCs w:val="22"/>
          <w:lang w:eastAsia="ja-JP"/>
        </w:rPr>
        <w:t>.</w:t>
      </w:r>
      <w:r w:rsidR="00EB0264" w:rsidRPr="006354DB">
        <w:rPr>
          <w:rFonts w:eastAsia="ＭＳ 明朝"/>
          <w:szCs w:val="22"/>
          <w:lang w:eastAsia="ja-JP"/>
        </w:rPr>
        <w:t xml:space="preserve"> </w:t>
      </w:r>
    </w:p>
    <w:p w14:paraId="6FE1CD99" w14:textId="36677A2C"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Efforts devoted to the assessment of impacts on flora and fauna should be commensurate with the level of risk. An initial (screening) assessment is usually carried out using generic </w:t>
      </w:r>
      <w:r w:rsidR="00755A65">
        <w:rPr>
          <w:rFonts w:eastAsia="ＭＳ 明朝"/>
          <w:szCs w:val="22"/>
          <w:lang w:eastAsia="ja-JP"/>
        </w:rPr>
        <w:t>representative</w:t>
      </w:r>
      <w:r w:rsidR="00755A65" w:rsidRPr="008828DE">
        <w:rPr>
          <w:rFonts w:eastAsia="ＭＳ 明朝"/>
          <w:szCs w:val="22"/>
          <w:lang w:eastAsia="ja-JP"/>
        </w:rPr>
        <w:t xml:space="preserve"> </w:t>
      </w:r>
      <w:r w:rsidRPr="008828DE">
        <w:rPr>
          <w:rFonts w:eastAsia="ＭＳ 明朝"/>
          <w:szCs w:val="22"/>
          <w:lang w:eastAsia="ja-JP"/>
        </w:rPr>
        <w:t xml:space="preserve">organisms. If this assessment indicates that there is no significant risk, then this is the end of the process and </w:t>
      </w:r>
      <w:r w:rsidR="00F927DB">
        <w:rPr>
          <w:rFonts w:eastAsia="ＭＳ 明朝"/>
          <w:szCs w:val="22"/>
          <w:lang w:eastAsia="ja-JP"/>
        </w:rPr>
        <w:t xml:space="preserve">obtaining </w:t>
      </w:r>
      <w:r w:rsidRPr="008828DE">
        <w:rPr>
          <w:rFonts w:eastAsia="ＭＳ 明朝"/>
          <w:szCs w:val="22"/>
          <w:lang w:eastAsia="ja-JP"/>
        </w:rPr>
        <w:t xml:space="preserve">specific information on organisms at the site is not necessary. In cases where DCRLs are exceeded, further investigation can be </w:t>
      </w:r>
      <w:r w:rsidRPr="008828DE">
        <w:rPr>
          <w:rFonts w:eastAsia="ＭＳ 明朝"/>
          <w:szCs w:val="22"/>
          <w:lang w:eastAsia="ja-JP"/>
        </w:rPr>
        <w:lastRenderedPageBreak/>
        <w:t xml:space="preserve">undertaken to gain improved site-specific understanding to replace conservative assumptions and parameter values used in the initial assessment with site-specific assumptions and data. If DCRLs are still exceeded, then the application of risk-based assessments to evaluate the significance of possible impacts </w:t>
      </w:r>
      <w:r w:rsidR="005F3313">
        <w:rPr>
          <w:rFonts w:eastAsia="ＭＳ 明朝"/>
          <w:szCs w:val="22"/>
          <w:lang w:eastAsia="ja-JP"/>
        </w:rPr>
        <w:t>on</w:t>
      </w:r>
      <w:r w:rsidRPr="008828DE">
        <w:rPr>
          <w:rFonts w:eastAsia="ＭＳ 明朝"/>
          <w:szCs w:val="22"/>
          <w:lang w:eastAsia="ja-JP"/>
        </w:rPr>
        <w:t xml:space="preserve"> non-human biota, including further site-specific investigations</w:t>
      </w:r>
      <w:r w:rsidR="00A005A0">
        <w:rPr>
          <w:rFonts w:eastAsia="ＭＳ 明朝"/>
          <w:szCs w:val="22"/>
          <w:lang w:eastAsia="ja-JP"/>
        </w:rPr>
        <w:t>,</w:t>
      </w:r>
      <w:r w:rsidR="00902973">
        <w:rPr>
          <w:rFonts w:eastAsia="ＭＳ 明朝"/>
          <w:szCs w:val="22"/>
          <w:lang w:eastAsia="ja-JP"/>
        </w:rPr>
        <w:t xml:space="preserve"> is</w:t>
      </w:r>
      <w:r w:rsidRPr="008828DE">
        <w:rPr>
          <w:rFonts w:eastAsia="ＭＳ 明朝"/>
          <w:szCs w:val="22"/>
          <w:lang w:eastAsia="ja-JP"/>
        </w:rPr>
        <w:t xml:space="preserve"> recommended. </w:t>
      </w:r>
      <w:r w:rsidR="00236ED3">
        <w:rPr>
          <w:rFonts w:eastAsia="ＭＳ 明朝"/>
          <w:szCs w:val="22"/>
          <w:lang w:eastAsia="ja-JP"/>
        </w:rPr>
        <w:t>E</w:t>
      </w:r>
      <w:r w:rsidRPr="008828DE">
        <w:rPr>
          <w:rFonts w:eastAsia="ＭＳ 明朝"/>
          <w:szCs w:val="22"/>
          <w:lang w:eastAsia="ja-JP"/>
        </w:rPr>
        <w:t xml:space="preserve">nvironmental protection in the optimisation and decision-making processes should do more good than harm to both people and the environment, including wildlife. </w:t>
      </w:r>
    </w:p>
    <w:p w14:paraId="449961D7" w14:textId="02153807"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Models, such as the ERICA or </w:t>
      </w:r>
      <w:r w:rsidRPr="00CC3D2E">
        <w:rPr>
          <w:rFonts w:eastAsia="ＭＳ 明朝"/>
          <w:szCs w:val="22"/>
          <w:lang w:eastAsia="ja-JP"/>
        </w:rPr>
        <w:t>RESRAD</w:t>
      </w:r>
      <w:r w:rsidRPr="008828DE">
        <w:rPr>
          <w:rFonts w:eastAsia="ＭＳ 明朝"/>
          <w:szCs w:val="22"/>
          <w:lang w:eastAsia="ja-JP"/>
        </w:rPr>
        <w:t>-BIOTA assessment tools (</w:t>
      </w:r>
      <w:r w:rsidR="009453B3">
        <w:rPr>
          <w:rFonts w:eastAsia="ＭＳ 明朝"/>
          <w:szCs w:val="22"/>
          <w:lang w:eastAsia="ja-JP"/>
        </w:rPr>
        <w:t>ISCORS</w:t>
      </w:r>
      <w:r w:rsidR="009453B3" w:rsidRPr="008828DE">
        <w:rPr>
          <w:rFonts w:eastAsia="ＭＳ 明朝"/>
          <w:szCs w:val="22"/>
          <w:lang w:eastAsia="ja-JP"/>
        </w:rPr>
        <w:t>, 2004</w:t>
      </w:r>
      <w:r w:rsidR="009453B3">
        <w:rPr>
          <w:rFonts w:eastAsia="ＭＳ 明朝"/>
          <w:szCs w:val="22"/>
          <w:lang w:eastAsia="ja-JP"/>
        </w:rPr>
        <w:t xml:space="preserve">; </w:t>
      </w:r>
      <w:r w:rsidRPr="008828DE">
        <w:rPr>
          <w:rFonts w:eastAsia="ＭＳ 明朝"/>
          <w:szCs w:val="22"/>
          <w:lang w:eastAsia="ja-JP"/>
        </w:rPr>
        <w:t>Brown, 2008</w:t>
      </w:r>
      <w:r w:rsidR="008B6128">
        <w:rPr>
          <w:rFonts w:eastAsia="ＭＳ 明朝"/>
          <w:szCs w:val="22"/>
          <w:lang w:eastAsia="ja-JP"/>
        </w:rPr>
        <w:t>, 2016</w:t>
      </w:r>
      <w:r w:rsidRPr="008828DE">
        <w:rPr>
          <w:rFonts w:eastAsia="ＭＳ 明朝"/>
          <w:szCs w:val="22"/>
          <w:lang w:eastAsia="ja-JP"/>
        </w:rPr>
        <w:t xml:space="preserve">), can be used to convert activity concentrations in environmental media into dose rates to RAPs. Dose rates for different remediation options can be compared with the relevant DCRLs. In more detailed assessments, </w:t>
      </w:r>
      <w:r w:rsidR="00F75700" w:rsidRPr="008828DE">
        <w:rPr>
          <w:rFonts w:eastAsia="ＭＳ 明朝"/>
          <w:szCs w:val="22"/>
          <w:lang w:eastAsia="ja-JP"/>
        </w:rPr>
        <w:t>to</w:t>
      </w:r>
      <w:r w:rsidRPr="008828DE">
        <w:rPr>
          <w:rFonts w:eastAsia="ＭＳ 明朝"/>
          <w:szCs w:val="22"/>
          <w:lang w:eastAsia="ja-JP"/>
        </w:rPr>
        <w:t xml:space="preserve"> assess the level of radiological impact for comparison with the reference criteria, the location of the representative organisms needs to be considered and carefully defined in relation to the distribution of radionuclides in the environment and the area occupied by the species that stakeholders identify as of protection interest (BIOPROTA, 2015; </w:t>
      </w:r>
      <w:proofErr w:type="spellStart"/>
      <w:r w:rsidRPr="008828DE">
        <w:rPr>
          <w:rFonts w:eastAsia="ＭＳ 明朝"/>
          <w:szCs w:val="22"/>
          <w:lang w:eastAsia="ja-JP"/>
        </w:rPr>
        <w:t>Griffault</w:t>
      </w:r>
      <w:proofErr w:type="spellEnd"/>
      <w:r w:rsidRPr="008828DE">
        <w:rPr>
          <w:rFonts w:eastAsia="ＭＳ 明朝"/>
          <w:szCs w:val="22"/>
          <w:lang w:eastAsia="ja-JP"/>
        </w:rPr>
        <w:t xml:space="preserve"> et al</w:t>
      </w:r>
      <w:r w:rsidR="00B85F61">
        <w:rPr>
          <w:rFonts w:eastAsia="ＭＳ 明朝"/>
          <w:szCs w:val="22"/>
          <w:lang w:eastAsia="ja-JP"/>
        </w:rPr>
        <w:t>.</w:t>
      </w:r>
      <w:r w:rsidRPr="008828DE">
        <w:rPr>
          <w:rFonts w:eastAsia="ＭＳ 明朝"/>
          <w:szCs w:val="22"/>
          <w:lang w:eastAsia="ja-JP"/>
        </w:rPr>
        <w:t>, 2022).</w:t>
      </w:r>
    </w:p>
    <w:p w14:paraId="4B4B474D" w14:textId="0DF7D038"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sidDel="00CE0B3A">
        <w:rPr>
          <w:rFonts w:eastAsia="ＭＳ 明朝"/>
          <w:szCs w:val="22"/>
          <w:lang w:eastAsia="ja-JP"/>
        </w:rPr>
        <w:t xml:space="preserve"> </w:t>
      </w:r>
      <w:r w:rsidRPr="008828DE">
        <w:rPr>
          <w:rFonts w:eastAsia="ＭＳ 明朝"/>
          <w:szCs w:val="22"/>
          <w:lang w:eastAsia="ja-JP"/>
        </w:rPr>
        <w:t xml:space="preserve">In many cases, the decision may be complicated. In addition to comparing the dose rates for the different remediation options with the relevant DCRLs, the assessment of impact should also consider a variety of factors beyond the estimated dose rate. As an example, </w:t>
      </w:r>
      <w:r w:rsidR="001413D9">
        <w:rPr>
          <w:rFonts w:eastAsia="ＭＳ 明朝"/>
          <w:szCs w:val="22"/>
          <w:lang w:eastAsia="ja-JP"/>
        </w:rPr>
        <w:t xml:space="preserve">the </w:t>
      </w:r>
      <w:r w:rsidRPr="008828DE">
        <w:rPr>
          <w:rFonts w:eastAsia="ＭＳ 明朝"/>
          <w:szCs w:val="22"/>
          <w:lang w:eastAsia="ja-JP"/>
        </w:rPr>
        <w:t>Maralinga</w:t>
      </w:r>
      <w:r w:rsidR="001413D9">
        <w:rPr>
          <w:rFonts w:eastAsia="ＭＳ 明朝"/>
          <w:szCs w:val="22"/>
          <w:lang w:eastAsia="ja-JP"/>
        </w:rPr>
        <w:t xml:space="preserve"> case study</w:t>
      </w:r>
      <w:r w:rsidRPr="008828DE">
        <w:rPr>
          <w:rFonts w:eastAsia="ＭＳ 明朝"/>
          <w:szCs w:val="22"/>
          <w:lang w:eastAsia="ja-JP"/>
        </w:rPr>
        <w:t xml:space="preserve"> </w:t>
      </w:r>
      <w:r w:rsidR="001413D9">
        <w:rPr>
          <w:rFonts w:eastAsia="ＭＳ 明朝"/>
          <w:szCs w:val="22"/>
          <w:lang w:eastAsia="ja-JP"/>
        </w:rPr>
        <w:t xml:space="preserve">(Section A.2) </w:t>
      </w:r>
      <w:r w:rsidRPr="008828DE">
        <w:rPr>
          <w:rFonts w:eastAsia="ＭＳ 明朝"/>
          <w:szCs w:val="22"/>
          <w:lang w:eastAsia="ja-JP"/>
        </w:rPr>
        <w:t xml:space="preserve">describes how </w:t>
      </w:r>
      <w:r w:rsidR="00AE044C">
        <w:rPr>
          <w:rFonts w:eastAsia="ＭＳ 明朝"/>
          <w:szCs w:val="22"/>
          <w:lang w:eastAsia="ja-JP"/>
        </w:rPr>
        <w:t>remedial</w:t>
      </w:r>
      <w:r w:rsidR="00AE044C" w:rsidRPr="008828DE">
        <w:rPr>
          <w:rFonts w:eastAsia="ＭＳ 明朝"/>
          <w:szCs w:val="22"/>
          <w:lang w:eastAsia="ja-JP"/>
        </w:rPr>
        <w:t xml:space="preserve"> </w:t>
      </w:r>
      <w:r w:rsidRPr="008828DE">
        <w:rPr>
          <w:rFonts w:eastAsia="ＭＳ 明朝"/>
          <w:szCs w:val="22"/>
          <w:lang w:eastAsia="ja-JP"/>
        </w:rPr>
        <w:t xml:space="preserve">actions </w:t>
      </w:r>
      <w:proofErr w:type="gramStart"/>
      <w:r w:rsidRPr="008828DE">
        <w:rPr>
          <w:rFonts w:eastAsia="ＭＳ 明朝"/>
          <w:szCs w:val="22"/>
          <w:lang w:eastAsia="ja-JP"/>
        </w:rPr>
        <w:t>took into account</w:t>
      </w:r>
      <w:proofErr w:type="gramEnd"/>
      <w:r w:rsidRPr="008828DE">
        <w:rPr>
          <w:rFonts w:eastAsia="ＭＳ 明朝"/>
          <w:szCs w:val="22"/>
          <w:lang w:eastAsia="ja-JP"/>
        </w:rPr>
        <w:t xml:space="preserve"> a balance between restrictions on land use and soil removal, which could have had a significant environmental </w:t>
      </w:r>
      <w:r w:rsidR="003F409B">
        <w:rPr>
          <w:rFonts w:eastAsia="ＭＳ 明朝"/>
          <w:szCs w:val="22"/>
          <w:lang w:eastAsia="ja-JP"/>
        </w:rPr>
        <w:t>(</w:t>
      </w:r>
      <w:r w:rsidR="003F409B" w:rsidRPr="008828DE">
        <w:rPr>
          <w:rFonts w:eastAsia="ＭＳ 明朝"/>
          <w:szCs w:val="22"/>
          <w:lang w:eastAsia="ja-JP"/>
        </w:rPr>
        <w:t>due to destruction of the natural habitat</w:t>
      </w:r>
      <w:r w:rsidR="003F409B">
        <w:rPr>
          <w:rFonts w:eastAsia="ＭＳ 明朝"/>
          <w:szCs w:val="22"/>
          <w:lang w:eastAsia="ja-JP"/>
        </w:rPr>
        <w:t xml:space="preserve">) </w:t>
      </w:r>
      <w:r w:rsidRPr="008828DE">
        <w:rPr>
          <w:rFonts w:eastAsia="ＭＳ 明朝"/>
          <w:szCs w:val="22"/>
          <w:lang w:eastAsia="ja-JP"/>
        </w:rPr>
        <w:t xml:space="preserve">and cultural impact. The Commission recommends an integrated approach </w:t>
      </w:r>
      <w:proofErr w:type="gramStart"/>
      <w:r w:rsidRPr="008828DE">
        <w:rPr>
          <w:rFonts w:eastAsia="ＭＳ 明朝"/>
          <w:szCs w:val="22"/>
          <w:lang w:eastAsia="ja-JP"/>
        </w:rPr>
        <w:t>taking into account</w:t>
      </w:r>
      <w:proofErr w:type="gramEnd"/>
      <w:r w:rsidRPr="008828DE">
        <w:rPr>
          <w:rFonts w:eastAsia="ＭＳ 明朝"/>
          <w:szCs w:val="22"/>
          <w:lang w:eastAsia="ja-JP"/>
        </w:rPr>
        <w:t xml:space="preserve"> radiological and non-radiological aspects.</w:t>
      </w:r>
    </w:p>
    <w:p w14:paraId="21FB38C8" w14:textId="0F8B4A33"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Protection of environmental resources, such as groundwater, </w:t>
      </w:r>
      <w:proofErr w:type="gramStart"/>
      <w:r w:rsidRPr="008828DE">
        <w:rPr>
          <w:rFonts w:eastAsia="ＭＳ 明朝"/>
          <w:szCs w:val="22"/>
          <w:lang w:eastAsia="ja-JP"/>
        </w:rPr>
        <w:t>soil</w:t>
      </w:r>
      <w:proofErr w:type="gramEnd"/>
      <w:r w:rsidRPr="008828DE">
        <w:rPr>
          <w:rFonts w:eastAsia="ＭＳ 明朝"/>
          <w:szCs w:val="22"/>
          <w:lang w:eastAsia="ja-JP"/>
        </w:rPr>
        <w:t xml:space="preserve"> and forests, should </w:t>
      </w:r>
      <w:r w:rsidR="00B16126" w:rsidRPr="008828DE">
        <w:rPr>
          <w:rFonts w:eastAsia="ＭＳ 明朝"/>
          <w:szCs w:val="22"/>
          <w:lang w:eastAsia="ja-JP"/>
        </w:rPr>
        <w:t>be</w:t>
      </w:r>
      <w:r w:rsidRPr="008828DE">
        <w:rPr>
          <w:rFonts w:eastAsia="ＭＳ 明朝"/>
          <w:szCs w:val="22"/>
          <w:lang w:eastAsia="ja-JP"/>
        </w:rPr>
        <w:t xml:space="preserve"> considered. Implementation of the remediation strategy should ensure, to the extent possible, that sustainability aspects are addressed and that </w:t>
      </w:r>
      <w:r w:rsidR="00AE044C">
        <w:rPr>
          <w:rFonts w:eastAsia="ＭＳ 明朝"/>
          <w:szCs w:val="22"/>
          <w:lang w:eastAsia="ja-JP"/>
        </w:rPr>
        <w:t>remedial</w:t>
      </w:r>
      <w:r w:rsidR="00AE044C" w:rsidRPr="008828DE">
        <w:rPr>
          <w:rFonts w:eastAsia="ＭＳ 明朝"/>
          <w:szCs w:val="22"/>
          <w:lang w:eastAsia="ja-JP"/>
        </w:rPr>
        <w:t xml:space="preserve"> </w:t>
      </w:r>
      <w:r w:rsidRPr="008828DE">
        <w:rPr>
          <w:rFonts w:eastAsia="ＭＳ 明朝"/>
          <w:szCs w:val="22"/>
          <w:lang w:eastAsia="ja-JP"/>
        </w:rPr>
        <w:t xml:space="preserve">actions will not prevent future land uses </w:t>
      </w:r>
      <w:r w:rsidR="00DA1F23">
        <w:rPr>
          <w:rFonts w:eastAsia="ＭＳ 明朝"/>
          <w:szCs w:val="22"/>
          <w:lang w:eastAsia="ja-JP"/>
        </w:rPr>
        <w:t xml:space="preserve">that </w:t>
      </w:r>
      <w:r w:rsidRPr="008828DE">
        <w:rPr>
          <w:rFonts w:eastAsia="ＭＳ 明朝"/>
          <w:szCs w:val="22"/>
          <w:lang w:eastAsia="ja-JP"/>
        </w:rPr>
        <w:t>are deemed desirable by local stakeholders, such as agricultural use, commercial activities</w:t>
      </w:r>
      <w:r w:rsidR="00212B5D">
        <w:rPr>
          <w:rFonts w:eastAsia="ＭＳ 明朝"/>
          <w:szCs w:val="22"/>
          <w:lang w:eastAsia="ja-JP"/>
        </w:rPr>
        <w:t>,</w:t>
      </w:r>
      <w:r w:rsidRPr="008828DE">
        <w:rPr>
          <w:rFonts w:eastAsia="ＭＳ 明朝"/>
          <w:szCs w:val="22"/>
          <w:lang w:eastAsia="ja-JP"/>
        </w:rPr>
        <w:t xml:space="preserve"> or social and cultural activities.</w:t>
      </w:r>
    </w:p>
    <w:p w14:paraId="3DBE0209" w14:textId="4AEFEDC8" w:rsidR="008828DE" w:rsidRPr="00D4395F" w:rsidRDefault="008828DE" w:rsidP="00D4395F">
      <w:pPr>
        <w:pStyle w:val="afa"/>
        <w:numPr>
          <w:ilvl w:val="2"/>
          <w:numId w:val="42"/>
        </w:numPr>
        <w:tabs>
          <w:tab w:val="left" w:pos="709"/>
        </w:tabs>
        <w:spacing w:before="240" w:after="240"/>
        <w:outlineLvl w:val="2"/>
        <w:rPr>
          <w:rFonts w:ascii="Times New Roman" w:hAnsi="Times New Roman"/>
          <w:b/>
          <w:bCs/>
          <w:sz w:val="24"/>
          <w:szCs w:val="24"/>
        </w:rPr>
      </w:pPr>
      <w:bookmarkStart w:id="87" w:name="_Toc117873841"/>
      <w:bookmarkStart w:id="88" w:name="_Toc159175961"/>
      <w:bookmarkStart w:id="89" w:name="_Toc159397481"/>
      <w:bookmarkEnd w:id="84"/>
      <w:bookmarkEnd w:id="85"/>
      <w:r w:rsidRPr="00D4395F">
        <w:rPr>
          <w:rFonts w:ascii="Times New Roman" w:hAnsi="Times New Roman"/>
          <w:b/>
          <w:bCs/>
          <w:sz w:val="24"/>
          <w:szCs w:val="24"/>
        </w:rPr>
        <w:t>Protecting remediation workers</w:t>
      </w:r>
      <w:bookmarkEnd w:id="87"/>
      <w:bookmarkEnd w:id="88"/>
      <w:bookmarkEnd w:id="89"/>
    </w:p>
    <w:p w14:paraId="3D60E1A5" w14:textId="2B95F288" w:rsidR="008828DE" w:rsidRPr="00304411" w:rsidRDefault="003F409B" w:rsidP="0048679D">
      <w:pPr>
        <w:numPr>
          <w:ilvl w:val="0"/>
          <w:numId w:val="13"/>
        </w:numPr>
        <w:tabs>
          <w:tab w:val="num" w:pos="634"/>
          <w:tab w:val="left" w:pos="851"/>
        </w:tabs>
        <w:ind w:left="0"/>
        <w:jc w:val="both"/>
        <w:rPr>
          <w:rFonts w:eastAsia="ＭＳ 明朝"/>
          <w:szCs w:val="22"/>
          <w:lang w:eastAsia="ja-JP"/>
        </w:rPr>
      </w:pPr>
      <w:r w:rsidRPr="00304411">
        <w:rPr>
          <w:rFonts w:eastAsia="ＭＳ 明朝"/>
          <w:szCs w:val="22"/>
          <w:lang w:eastAsia="ja-JP"/>
        </w:rPr>
        <w:t xml:space="preserve">As far as remediation workers are concerned, </w:t>
      </w:r>
      <w:r w:rsidR="00720A0F" w:rsidRPr="00720A0F">
        <w:rPr>
          <w:rFonts w:eastAsia="ＭＳ 明朝"/>
          <w:szCs w:val="22"/>
          <w:lang w:eastAsia="ja-JP"/>
        </w:rPr>
        <w:t xml:space="preserve">radiological protection aspects can be reasonably </w:t>
      </w:r>
      <w:proofErr w:type="gramStart"/>
      <w:r w:rsidR="00720A0F" w:rsidRPr="00720A0F">
        <w:rPr>
          <w:rFonts w:eastAsia="ＭＳ 明朝"/>
          <w:szCs w:val="22"/>
          <w:lang w:eastAsia="ja-JP"/>
        </w:rPr>
        <w:t>planned</w:t>
      </w:r>
      <w:proofErr w:type="gramEnd"/>
      <w:r w:rsidR="00720A0F" w:rsidRPr="00720A0F">
        <w:rPr>
          <w:rFonts w:eastAsia="ＭＳ 明朝"/>
          <w:szCs w:val="22"/>
          <w:lang w:eastAsia="ja-JP"/>
        </w:rPr>
        <w:t xml:space="preserve"> and exposures controlled. Remediation workers are (in most cases) managed as occupationally exposed workers and the requisites for </w:t>
      </w:r>
      <w:r w:rsidR="00351405">
        <w:rPr>
          <w:rFonts w:eastAsia="ＭＳ 明朝"/>
          <w:szCs w:val="22"/>
          <w:lang w:eastAsia="ja-JP"/>
        </w:rPr>
        <w:t xml:space="preserve">planned </w:t>
      </w:r>
      <w:r w:rsidR="00720A0F" w:rsidRPr="00720A0F">
        <w:rPr>
          <w:rFonts w:eastAsia="ＭＳ 明朝"/>
          <w:szCs w:val="22"/>
          <w:lang w:eastAsia="ja-JP"/>
        </w:rPr>
        <w:t>occupational exposure apply</w:t>
      </w:r>
      <w:r w:rsidR="008C3D7A">
        <w:rPr>
          <w:rFonts w:eastAsia="ＭＳ 明朝"/>
          <w:szCs w:val="22"/>
          <w:lang w:eastAsia="ja-JP"/>
        </w:rPr>
        <w:t>,</w:t>
      </w:r>
      <w:r w:rsidR="00720A0F" w:rsidRPr="00720A0F">
        <w:rPr>
          <w:rFonts w:eastAsia="ＭＳ 明朝"/>
          <w:szCs w:val="22"/>
          <w:lang w:eastAsia="ja-JP"/>
        </w:rPr>
        <w:t xml:space="preserve"> including dose constraints and dose limits. Nevertheless, the Commission recognises that the choice of the management framework for controlling remediation workers’ exposures in a contaminated area will be a case-specific decision and recommends an </w:t>
      </w:r>
      <w:r w:rsidR="008C3D7A" w:rsidRPr="00720A0F">
        <w:rPr>
          <w:rFonts w:eastAsia="ＭＳ 明朝"/>
          <w:szCs w:val="22"/>
          <w:lang w:eastAsia="ja-JP"/>
        </w:rPr>
        <w:t>all-hazards</w:t>
      </w:r>
      <w:r w:rsidR="00720A0F" w:rsidRPr="00720A0F">
        <w:rPr>
          <w:rFonts w:eastAsia="ＭＳ 明朝"/>
          <w:szCs w:val="22"/>
          <w:lang w:eastAsia="ja-JP"/>
        </w:rPr>
        <w:t xml:space="preserve"> </w:t>
      </w:r>
      <w:r w:rsidR="00041906">
        <w:rPr>
          <w:rFonts w:eastAsia="ＭＳ 明朝"/>
          <w:szCs w:val="22"/>
          <w:lang w:eastAsia="ja-JP"/>
        </w:rPr>
        <w:t xml:space="preserve">or holistic </w:t>
      </w:r>
      <w:r w:rsidR="00720A0F" w:rsidRPr="00720A0F">
        <w:rPr>
          <w:rFonts w:eastAsia="ＭＳ 明朝"/>
          <w:szCs w:val="22"/>
          <w:lang w:eastAsia="ja-JP"/>
        </w:rPr>
        <w:t xml:space="preserve">approach, </w:t>
      </w:r>
      <w:r w:rsidR="00041906">
        <w:rPr>
          <w:rFonts w:eastAsia="ＭＳ 明朝"/>
          <w:szCs w:val="22"/>
          <w:lang w:eastAsia="ja-JP"/>
        </w:rPr>
        <w:t>considering</w:t>
      </w:r>
      <w:r w:rsidR="00720A0F" w:rsidRPr="00720A0F">
        <w:rPr>
          <w:rFonts w:eastAsia="ＭＳ 明朝"/>
          <w:szCs w:val="22"/>
          <w:lang w:eastAsia="ja-JP"/>
        </w:rPr>
        <w:t xml:space="preserve"> non-radiological risk in </w:t>
      </w:r>
      <w:r w:rsidR="00041906">
        <w:rPr>
          <w:rFonts w:eastAsia="ＭＳ 明朝"/>
          <w:szCs w:val="22"/>
          <w:lang w:eastAsia="ja-JP"/>
        </w:rPr>
        <w:t>a balanced</w:t>
      </w:r>
      <w:r w:rsidR="00720A0F" w:rsidRPr="00720A0F">
        <w:rPr>
          <w:rFonts w:eastAsia="ＭＳ 明朝"/>
          <w:szCs w:val="22"/>
          <w:lang w:eastAsia="ja-JP"/>
        </w:rPr>
        <w:t xml:space="preserve"> use of regulatory tools to effectively achieve protection. For instance, workers called for their skills (civil-engineering, electrician</w:t>
      </w:r>
      <w:r w:rsidR="00DB2AA2">
        <w:rPr>
          <w:rFonts w:eastAsia="ＭＳ 明朝"/>
          <w:szCs w:val="22"/>
          <w:lang w:eastAsia="ja-JP"/>
        </w:rPr>
        <w:t>, etc.</w:t>
      </w:r>
      <w:r w:rsidR="00720A0F" w:rsidRPr="00720A0F">
        <w:rPr>
          <w:rFonts w:eastAsia="ＭＳ 明朝"/>
          <w:szCs w:val="22"/>
          <w:lang w:eastAsia="ja-JP"/>
        </w:rPr>
        <w:t>) could be involved in remediation activities even though working around ioni</w:t>
      </w:r>
      <w:r w:rsidR="00264B79">
        <w:rPr>
          <w:rFonts w:eastAsia="ＭＳ 明朝"/>
          <w:szCs w:val="22"/>
          <w:lang w:eastAsia="ja-JP"/>
        </w:rPr>
        <w:t>s</w:t>
      </w:r>
      <w:r w:rsidR="00720A0F" w:rsidRPr="00720A0F">
        <w:rPr>
          <w:rFonts w:eastAsia="ＭＳ 明朝"/>
          <w:szCs w:val="22"/>
          <w:lang w:eastAsia="ja-JP"/>
        </w:rPr>
        <w:t xml:space="preserve">ing radiation is not a routine part of </w:t>
      </w:r>
      <w:r w:rsidR="00FF66D4" w:rsidRPr="00720A0F">
        <w:rPr>
          <w:rFonts w:eastAsia="ＭＳ 明朝"/>
          <w:szCs w:val="22"/>
          <w:lang w:eastAsia="ja-JP"/>
        </w:rPr>
        <w:t>their job</w:t>
      </w:r>
      <w:r w:rsidR="00720A0F" w:rsidRPr="00720A0F">
        <w:rPr>
          <w:rFonts w:eastAsia="ＭＳ 明朝"/>
          <w:szCs w:val="22"/>
          <w:lang w:eastAsia="ja-JP"/>
        </w:rPr>
        <w:t xml:space="preserve"> or typical work environment. </w:t>
      </w:r>
      <w:r w:rsidR="00041906" w:rsidRPr="00041906">
        <w:rPr>
          <w:rFonts w:eastAsia="ＭＳ 明朝"/>
          <w:szCs w:val="22"/>
          <w:lang w:eastAsia="ja-JP"/>
        </w:rPr>
        <w:t>Their exposure to radiation should be protected at the same level as members of the public. Flexibility in the implementation of specific requirements for radiation protection could be provided, commensurate with the level of exposure and adapted to the circumstances.</w:t>
      </w:r>
      <w:r w:rsidR="00041906">
        <w:rPr>
          <w:rFonts w:eastAsia="ＭＳ 明朝"/>
          <w:szCs w:val="22"/>
          <w:lang w:eastAsia="ja-JP"/>
        </w:rPr>
        <w:t xml:space="preserve"> </w:t>
      </w:r>
      <w:r w:rsidR="00720A0F" w:rsidRPr="00720A0F">
        <w:rPr>
          <w:rFonts w:eastAsia="ＭＳ 明朝"/>
          <w:szCs w:val="22"/>
          <w:lang w:eastAsia="ja-JP"/>
        </w:rPr>
        <w:t>For example: just-in-time training, adapted dose recording</w:t>
      </w:r>
      <w:r w:rsidR="00DB2AA2">
        <w:rPr>
          <w:rFonts w:eastAsia="ＭＳ 明朝"/>
          <w:szCs w:val="22"/>
          <w:lang w:eastAsia="ja-JP"/>
        </w:rPr>
        <w:t>,</w:t>
      </w:r>
      <w:r w:rsidR="00720A0F" w:rsidRPr="00720A0F">
        <w:rPr>
          <w:rFonts w:eastAsia="ＭＳ 明朝"/>
          <w:szCs w:val="22"/>
          <w:lang w:eastAsia="ja-JP"/>
        </w:rPr>
        <w:t xml:space="preserve"> or flexibility with the dose criteria since their intervention is episodical. In most cases, non-radiological risk (i.e. chemical or physical) may be </w:t>
      </w:r>
      <w:r w:rsidR="00041906">
        <w:rPr>
          <w:rFonts w:eastAsia="ＭＳ 明朝"/>
          <w:szCs w:val="22"/>
          <w:lang w:eastAsia="ja-JP"/>
        </w:rPr>
        <w:t>the</w:t>
      </w:r>
      <w:r w:rsidR="00720A0F" w:rsidRPr="00720A0F">
        <w:rPr>
          <w:rFonts w:eastAsia="ＭＳ 明朝"/>
          <w:szCs w:val="22"/>
          <w:lang w:eastAsia="ja-JP"/>
        </w:rPr>
        <w:t xml:space="preserve"> main contributor to occupational health issues.</w:t>
      </w:r>
      <w:r w:rsidR="008B64C8">
        <w:rPr>
          <w:rFonts w:eastAsia="ＭＳ 明朝"/>
          <w:szCs w:val="22"/>
          <w:lang w:eastAsia="ja-JP"/>
        </w:rPr>
        <w:t xml:space="preserve"> </w:t>
      </w:r>
    </w:p>
    <w:p w14:paraId="48BD50A1" w14:textId="587ECB85"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As part of developing a remediation plan, the following aspects should be considered in the radiation protection programme to provide adequate </w:t>
      </w:r>
      <w:r w:rsidR="00D310E4">
        <w:rPr>
          <w:rFonts w:eastAsia="ＭＳ 明朝"/>
          <w:szCs w:val="22"/>
          <w:lang w:eastAsia="ja-JP"/>
        </w:rPr>
        <w:t xml:space="preserve">remediation </w:t>
      </w:r>
      <w:r w:rsidRPr="008828DE">
        <w:rPr>
          <w:rFonts w:eastAsia="ＭＳ 明朝"/>
          <w:szCs w:val="22"/>
          <w:lang w:eastAsia="ja-JP"/>
        </w:rPr>
        <w:t xml:space="preserve">worker protection: </w:t>
      </w:r>
      <w:r w:rsidRPr="008828DE">
        <w:rPr>
          <w:rFonts w:eastAsia="ＭＳ 明朝"/>
          <w:szCs w:val="22"/>
          <w:lang w:eastAsia="ja-JP"/>
        </w:rPr>
        <w:lastRenderedPageBreak/>
        <w:t>identifying main exposure pathways (external and internal exposure); assessing individual doses (based on individual monitoring, site-specific measurements where work is carried out and specific conditions to avoid excessive conservatism); evaluating health and safety issues during remediation work, including the use of appropriate personal protective equipment; and, ensuring that workers are adequately trained and competent. The magnitude of the doses received will depend on many variables, such as the type of radionuclides involved, the exposure pathways (external exposure and internal exposure due to inhalation and ingestion) resulting from implementing remedial actions (including disposal of wastes)</w:t>
      </w:r>
      <w:r w:rsidR="003F409B">
        <w:rPr>
          <w:rFonts w:eastAsia="ＭＳ 明朝"/>
          <w:szCs w:val="22"/>
          <w:lang w:eastAsia="ja-JP"/>
        </w:rPr>
        <w:t>,</w:t>
      </w:r>
      <w:r w:rsidRPr="008828DE">
        <w:rPr>
          <w:rFonts w:eastAsia="ＭＳ 明朝"/>
          <w:szCs w:val="22"/>
          <w:lang w:eastAsia="ja-JP"/>
        </w:rPr>
        <w:t xml:space="preserve"> the length of exposure time</w:t>
      </w:r>
      <w:r w:rsidR="003F409B">
        <w:rPr>
          <w:rFonts w:eastAsia="ＭＳ 明朝"/>
          <w:szCs w:val="22"/>
          <w:lang w:eastAsia="ja-JP"/>
        </w:rPr>
        <w:t>, etc</w:t>
      </w:r>
      <w:r w:rsidRPr="008828DE">
        <w:rPr>
          <w:rFonts w:eastAsia="ＭＳ 明朝"/>
          <w:szCs w:val="22"/>
          <w:lang w:eastAsia="ja-JP"/>
        </w:rPr>
        <w:t xml:space="preserve">. </w:t>
      </w:r>
      <w:r w:rsidR="00E33BB2">
        <w:rPr>
          <w:rFonts w:eastAsia="ＭＳ 明朝"/>
          <w:szCs w:val="22"/>
          <w:lang w:eastAsia="ja-JP"/>
        </w:rPr>
        <w:t>I</w:t>
      </w:r>
      <w:r w:rsidRPr="008828DE">
        <w:rPr>
          <w:rFonts w:eastAsia="ＭＳ 明朝"/>
          <w:szCs w:val="22"/>
          <w:lang w:eastAsia="ja-JP"/>
        </w:rPr>
        <w:t>ntegrati</w:t>
      </w:r>
      <w:r w:rsidR="00E33BB2">
        <w:rPr>
          <w:rFonts w:eastAsia="ＭＳ 明朝"/>
          <w:szCs w:val="22"/>
          <w:lang w:eastAsia="ja-JP"/>
        </w:rPr>
        <w:t>ng</w:t>
      </w:r>
      <w:r w:rsidRPr="008828DE">
        <w:rPr>
          <w:rFonts w:eastAsia="ＭＳ 明朝"/>
          <w:szCs w:val="22"/>
          <w:lang w:eastAsia="ja-JP"/>
        </w:rPr>
        <w:t xml:space="preserve"> radiological protection in the procedures for control</w:t>
      </w:r>
      <w:r w:rsidR="0032037C">
        <w:rPr>
          <w:rFonts w:eastAsia="ＭＳ 明朝"/>
          <w:szCs w:val="22"/>
          <w:lang w:eastAsia="ja-JP"/>
        </w:rPr>
        <w:t xml:space="preserve">ling </w:t>
      </w:r>
      <w:r w:rsidRPr="008828DE">
        <w:rPr>
          <w:rFonts w:eastAsia="ＭＳ 明朝"/>
          <w:szCs w:val="22"/>
          <w:lang w:eastAsia="ja-JP"/>
        </w:rPr>
        <w:t xml:space="preserve">other hazards in a more global and synergistic </w:t>
      </w:r>
      <w:r w:rsidR="00892112">
        <w:rPr>
          <w:rFonts w:eastAsia="ＭＳ 明朝"/>
          <w:szCs w:val="22"/>
          <w:lang w:eastAsia="ja-JP"/>
        </w:rPr>
        <w:t xml:space="preserve">approach to </w:t>
      </w:r>
      <w:r w:rsidRPr="008828DE">
        <w:rPr>
          <w:rFonts w:eastAsia="ＭＳ 明朝"/>
          <w:szCs w:val="22"/>
          <w:lang w:eastAsia="ja-JP"/>
        </w:rPr>
        <w:t>hazard management is an important aspect to carry out (for example, personal protective equipment used during asbestos abatement can also prevent internal exposure via inhalation). Special</w:t>
      </w:r>
      <w:r w:rsidR="002D67F8">
        <w:rPr>
          <w:rFonts w:eastAsia="ＭＳ 明朝"/>
          <w:szCs w:val="22"/>
          <w:lang w:eastAsia="ja-JP"/>
        </w:rPr>
        <w:t>is</w:t>
      </w:r>
      <w:r w:rsidRPr="008828DE">
        <w:rPr>
          <w:rFonts w:eastAsia="ＭＳ 明朝"/>
          <w:szCs w:val="22"/>
          <w:lang w:eastAsia="ja-JP"/>
        </w:rPr>
        <w:t xml:space="preserve">ed training may be needed in certain areas of work. </w:t>
      </w:r>
    </w:p>
    <w:p w14:paraId="21CB1A97" w14:textId="46F85C10"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Radiological protection requirements for the protection of remediation workers should be commensurate with the magnitude of radiological risk (graded approach</w:t>
      </w:r>
      <w:r w:rsidR="003828C4" w:rsidRPr="008828DE">
        <w:rPr>
          <w:rFonts w:eastAsia="ＭＳ 明朝"/>
          <w:szCs w:val="22"/>
          <w:lang w:eastAsia="ja-JP"/>
        </w:rPr>
        <w:t>) and</w:t>
      </w:r>
      <w:r w:rsidRPr="008828DE">
        <w:rPr>
          <w:rFonts w:eastAsia="ＭＳ 明朝"/>
          <w:szCs w:val="22"/>
          <w:lang w:eastAsia="ja-JP"/>
        </w:rPr>
        <w:t xml:space="preserve"> included in the procedures for the control of all occupational hazards (</w:t>
      </w:r>
      <w:r w:rsidR="00DE0690">
        <w:rPr>
          <w:rFonts w:eastAsia="ＭＳ 明朝"/>
          <w:szCs w:val="22"/>
          <w:lang w:eastAsia="ja-JP"/>
        </w:rPr>
        <w:t>all hazards</w:t>
      </w:r>
      <w:r w:rsidRPr="008828DE">
        <w:rPr>
          <w:rFonts w:eastAsia="ＭＳ 明朝"/>
          <w:szCs w:val="22"/>
          <w:lang w:eastAsia="ja-JP"/>
        </w:rPr>
        <w:t xml:space="preserve"> approach).</w:t>
      </w:r>
    </w:p>
    <w:p w14:paraId="07C7CE21" w14:textId="62303C48" w:rsidR="008828DE" w:rsidRPr="008828DE" w:rsidRDefault="008828DE" w:rsidP="00AD3AF2">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In specific situations where the source(s) and exposure pathways are not adequately character</w:t>
      </w:r>
      <w:r w:rsidR="002D67F8">
        <w:rPr>
          <w:rFonts w:eastAsia="ＭＳ 明朝"/>
          <w:szCs w:val="22"/>
          <w:lang w:eastAsia="ja-JP"/>
        </w:rPr>
        <w:t>is</w:t>
      </w:r>
      <w:r w:rsidRPr="008828DE">
        <w:rPr>
          <w:rFonts w:eastAsia="ＭＳ 明朝"/>
          <w:szCs w:val="22"/>
          <w:lang w:eastAsia="ja-JP"/>
        </w:rPr>
        <w:t xml:space="preserve">ed and not completely defined, as can happen in </w:t>
      </w:r>
      <w:r w:rsidR="00B74FF6">
        <w:rPr>
          <w:rFonts w:eastAsia="ＭＳ 明朝"/>
          <w:szCs w:val="22"/>
          <w:lang w:eastAsia="ja-JP"/>
        </w:rPr>
        <w:t>the</w:t>
      </w:r>
      <w:r w:rsidR="00B74FF6" w:rsidRPr="008828DE">
        <w:rPr>
          <w:rFonts w:eastAsia="ＭＳ 明朝"/>
          <w:szCs w:val="22"/>
          <w:lang w:eastAsia="ja-JP"/>
        </w:rPr>
        <w:t xml:space="preserve"> </w:t>
      </w:r>
      <w:r w:rsidRPr="008828DE">
        <w:rPr>
          <w:rFonts w:eastAsia="ＭＳ 明朝"/>
          <w:szCs w:val="22"/>
          <w:lang w:eastAsia="ja-JP"/>
        </w:rPr>
        <w:t xml:space="preserve">preliminary phases of the remediation process, it might be more appropriate to </w:t>
      </w:r>
      <w:r w:rsidR="004E5BD1">
        <w:rPr>
          <w:rFonts w:eastAsia="ＭＳ 明朝"/>
          <w:szCs w:val="22"/>
          <w:lang w:eastAsia="ja-JP"/>
        </w:rPr>
        <w:t xml:space="preserve">initially </w:t>
      </w:r>
      <w:r w:rsidRPr="008828DE">
        <w:rPr>
          <w:rFonts w:eastAsia="ＭＳ 明朝"/>
          <w:szCs w:val="22"/>
          <w:lang w:eastAsia="ja-JP"/>
        </w:rPr>
        <w:t>use reference levels for the remediation worker’s protection rather than a dose constraint or dose limits.</w:t>
      </w:r>
      <w:r w:rsidR="00BD561F">
        <w:rPr>
          <w:rFonts w:eastAsia="ＭＳ 明朝"/>
          <w:szCs w:val="22"/>
          <w:lang w:eastAsia="ja-JP"/>
        </w:rPr>
        <w:t xml:space="preserve"> </w:t>
      </w:r>
      <w:r w:rsidR="00E371B9">
        <w:rPr>
          <w:rFonts w:eastAsia="ＭＳ 明朝"/>
          <w:szCs w:val="22"/>
          <w:lang w:eastAsia="ja-JP"/>
        </w:rPr>
        <w:t xml:space="preserve">As soon as the characterisation yields adequate </w:t>
      </w:r>
      <w:r w:rsidR="0078471F">
        <w:rPr>
          <w:rFonts w:eastAsia="ＭＳ 明朝"/>
          <w:szCs w:val="22"/>
          <w:lang w:eastAsia="ja-JP"/>
        </w:rPr>
        <w:t>information and data, dose constraints and dose limits should apply.</w:t>
      </w:r>
      <w:r w:rsidRPr="008828DE">
        <w:rPr>
          <w:rFonts w:eastAsia="ＭＳ 明朝"/>
          <w:szCs w:val="22"/>
          <w:lang w:eastAsia="ja-JP"/>
        </w:rPr>
        <w:t xml:space="preserve"> In all cases, worker protection should be managed as deemed appropriate by the regulator. This process can be implemented through information, advice, assistance, and, where necessary, more formal requirements. Relevant information and recommendations should be communicated to them </w:t>
      </w:r>
      <w:r w:rsidR="00BD0CDA">
        <w:rPr>
          <w:rFonts w:eastAsia="ＭＳ 明朝"/>
          <w:szCs w:val="22"/>
          <w:lang w:eastAsia="ja-JP"/>
        </w:rPr>
        <w:t>about</w:t>
      </w:r>
      <w:r w:rsidRPr="008828DE">
        <w:rPr>
          <w:rFonts w:eastAsia="ＭＳ 明朝"/>
          <w:szCs w:val="22"/>
          <w:lang w:eastAsia="ja-JP"/>
        </w:rPr>
        <w:t xml:space="preserve"> the tasks they </w:t>
      </w:r>
      <w:proofErr w:type="gramStart"/>
      <w:r w:rsidRPr="008828DE">
        <w:rPr>
          <w:rFonts w:eastAsia="ＭＳ 明朝"/>
          <w:szCs w:val="22"/>
          <w:lang w:eastAsia="ja-JP"/>
        </w:rPr>
        <w:t>perform</w:t>
      </w:r>
      <w:proofErr w:type="gramEnd"/>
      <w:r w:rsidR="008F3D16">
        <w:rPr>
          <w:rFonts w:eastAsia="ＭＳ 明朝"/>
          <w:szCs w:val="22"/>
          <w:lang w:eastAsia="ja-JP"/>
        </w:rPr>
        <w:t xml:space="preserve"> and</w:t>
      </w:r>
      <w:r w:rsidRPr="008828DE">
        <w:rPr>
          <w:rFonts w:eastAsia="ＭＳ 明朝"/>
          <w:szCs w:val="22"/>
          <w:lang w:eastAsia="ja-JP"/>
        </w:rPr>
        <w:t xml:space="preserve"> adequate training and appropriate personal protective equipment</w:t>
      </w:r>
      <w:r w:rsidR="009756C5">
        <w:rPr>
          <w:rFonts w:eastAsia="ＭＳ 明朝"/>
          <w:szCs w:val="22"/>
          <w:lang w:eastAsia="ja-JP"/>
        </w:rPr>
        <w:t xml:space="preserve"> provided</w:t>
      </w:r>
      <w:r w:rsidRPr="008828DE">
        <w:rPr>
          <w:rFonts w:eastAsia="ＭＳ 明朝"/>
          <w:szCs w:val="22"/>
          <w:lang w:eastAsia="ja-JP"/>
        </w:rPr>
        <w:t xml:space="preserve">. </w:t>
      </w:r>
      <w:bookmarkEnd w:id="86"/>
    </w:p>
    <w:p w14:paraId="173B6F1B" w14:textId="5E6AAFFE" w:rsidR="008828DE" w:rsidRPr="008828DE" w:rsidRDefault="008828DE" w:rsidP="00511168">
      <w:pPr>
        <w:tabs>
          <w:tab w:val="left" w:pos="709"/>
        </w:tabs>
        <w:spacing w:before="240" w:after="240"/>
        <w:outlineLvl w:val="2"/>
        <w:rPr>
          <w:rFonts w:eastAsia="ＭＳ 明朝"/>
          <w:b/>
          <w:szCs w:val="22"/>
          <w:lang w:eastAsia="ja-JP"/>
        </w:rPr>
      </w:pPr>
      <w:bookmarkStart w:id="90" w:name="_Toc117873842"/>
      <w:bookmarkStart w:id="91" w:name="_Toc159175962"/>
      <w:bookmarkStart w:id="92" w:name="_Toc159397482"/>
      <w:r w:rsidRPr="008828DE">
        <w:rPr>
          <w:rFonts w:eastAsia="ＭＳ 明朝"/>
          <w:b/>
          <w:szCs w:val="22"/>
          <w:lang w:eastAsia="ja-JP"/>
        </w:rPr>
        <w:t>4.4.4.</w:t>
      </w:r>
      <w:r w:rsidRPr="008828DE">
        <w:rPr>
          <w:rFonts w:eastAsia="ＭＳ 明朝"/>
          <w:b/>
          <w:szCs w:val="22"/>
          <w:lang w:eastAsia="ja-JP"/>
        </w:rPr>
        <w:tab/>
        <w:t xml:space="preserve">Selecting </w:t>
      </w:r>
      <w:r w:rsidR="007F1B74" w:rsidRPr="008828DE">
        <w:rPr>
          <w:rFonts w:eastAsia="ＭＳ 明朝"/>
          <w:b/>
          <w:szCs w:val="22"/>
          <w:lang w:eastAsia="ja-JP"/>
        </w:rPr>
        <w:t>remedia</w:t>
      </w:r>
      <w:r w:rsidR="007F1B74">
        <w:rPr>
          <w:rFonts w:eastAsia="ＭＳ 明朝"/>
          <w:b/>
          <w:szCs w:val="22"/>
          <w:lang w:eastAsia="ja-JP"/>
        </w:rPr>
        <w:t>l</w:t>
      </w:r>
      <w:r w:rsidR="007F1B74" w:rsidRPr="008828DE">
        <w:rPr>
          <w:rFonts w:eastAsia="ＭＳ 明朝"/>
          <w:b/>
          <w:szCs w:val="22"/>
          <w:lang w:eastAsia="ja-JP"/>
        </w:rPr>
        <w:t xml:space="preserve"> </w:t>
      </w:r>
      <w:r w:rsidRPr="008828DE">
        <w:rPr>
          <w:rFonts w:eastAsia="ＭＳ 明朝"/>
          <w:b/>
          <w:szCs w:val="22"/>
          <w:lang w:eastAsia="ja-JP"/>
        </w:rPr>
        <w:t>actions</w:t>
      </w:r>
      <w:bookmarkEnd w:id="90"/>
      <w:bookmarkEnd w:id="91"/>
      <w:bookmarkEnd w:id="92"/>
    </w:p>
    <w:p w14:paraId="5E220B3D" w14:textId="1F390B5B"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Remediation techniques that are applied during implementation of remedial actions may aim at </w:t>
      </w:r>
      <w:r w:rsidR="002D7C47">
        <w:rPr>
          <w:rFonts w:eastAsia="ＭＳ 明朝"/>
          <w:szCs w:val="22"/>
          <w:lang w:eastAsia="ja-JP"/>
        </w:rPr>
        <w:t xml:space="preserve">removing </w:t>
      </w:r>
      <w:r w:rsidR="00592267">
        <w:rPr>
          <w:rFonts w:eastAsia="ＭＳ 明朝"/>
          <w:szCs w:val="22"/>
          <w:lang w:eastAsia="ja-JP"/>
        </w:rPr>
        <w:t xml:space="preserve">or </w:t>
      </w:r>
      <w:r w:rsidRPr="008828DE">
        <w:rPr>
          <w:rFonts w:eastAsia="ＭＳ 明朝"/>
          <w:szCs w:val="22"/>
          <w:lang w:eastAsia="ja-JP"/>
        </w:rPr>
        <w:t>reducing the concentration of radionuclides in soil (and other environmental compartments), disrupting exposure pathways</w:t>
      </w:r>
      <w:r w:rsidR="004E2C3A">
        <w:rPr>
          <w:rFonts w:eastAsia="ＭＳ 明朝"/>
          <w:szCs w:val="22"/>
          <w:lang w:eastAsia="ja-JP"/>
        </w:rPr>
        <w:t>,</w:t>
      </w:r>
      <w:r w:rsidRPr="008828DE">
        <w:rPr>
          <w:rFonts w:eastAsia="ＭＳ 明朝"/>
          <w:szCs w:val="22"/>
          <w:lang w:eastAsia="ja-JP"/>
        </w:rPr>
        <w:t xml:space="preserve"> or reducing radionuclide bioavailability. Remediation techniques include topsoil removal, ploughing, soil washing, confinement techniques, etc. For example, remov</w:t>
      </w:r>
      <w:r w:rsidR="005131D4">
        <w:rPr>
          <w:rFonts w:eastAsia="ＭＳ 明朝"/>
          <w:szCs w:val="22"/>
          <w:lang w:eastAsia="ja-JP"/>
        </w:rPr>
        <w:t>ing</w:t>
      </w:r>
      <w:r w:rsidRPr="008828DE">
        <w:rPr>
          <w:rFonts w:eastAsia="ＭＳ 明朝"/>
          <w:szCs w:val="22"/>
          <w:lang w:eastAsia="ja-JP"/>
        </w:rPr>
        <w:t xml:space="preserve"> much of the contamination at the surface will </w:t>
      </w:r>
      <w:r w:rsidR="00241602">
        <w:rPr>
          <w:rFonts w:eastAsia="ＭＳ 明朝"/>
          <w:szCs w:val="22"/>
          <w:lang w:eastAsia="ja-JP"/>
        </w:rPr>
        <w:t xml:space="preserve">significantly </w:t>
      </w:r>
      <w:r w:rsidRPr="008828DE">
        <w:rPr>
          <w:rFonts w:eastAsia="ＭＳ 明朝"/>
          <w:szCs w:val="22"/>
          <w:lang w:eastAsia="ja-JP"/>
        </w:rPr>
        <w:t xml:space="preserve">reduce radionuclide uptake by plant roots, external </w:t>
      </w:r>
      <w:r w:rsidR="009242C6" w:rsidRPr="008828DE">
        <w:rPr>
          <w:rFonts w:eastAsia="ＭＳ 明朝"/>
          <w:szCs w:val="22"/>
          <w:lang w:eastAsia="ja-JP"/>
        </w:rPr>
        <w:t>exposure,</w:t>
      </w:r>
      <w:r w:rsidRPr="008828DE">
        <w:rPr>
          <w:rFonts w:eastAsia="ＭＳ 明朝"/>
          <w:szCs w:val="22"/>
          <w:lang w:eastAsia="ja-JP"/>
        </w:rPr>
        <w:t xml:space="preserve"> and resuspension of radionuclides from the soil</w:t>
      </w:r>
      <w:r w:rsidR="004E0DDB">
        <w:rPr>
          <w:rFonts w:eastAsia="ＭＳ 明朝"/>
          <w:szCs w:val="22"/>
          <w:lang w:eastAsia="ja-JP"/>
        </w:rPr>
        <w:t xml:space="preserve">. However, </w:t>
      </w:r>
      <w:r w:rsidRPr="008828DE">
        <w:rPr>
          <w:rFonts w:eastAsia="ＭＳ 明朝"/>
          <w:szCs w:val="22"/>
          <w:lang w:eastAsia="ja-JP"/>
        </w:rPr>
        <w:t>such techniques might also damage terrestrial habitat.</w:t>
      </w:r>
      <w:r w:rsidR="002F0E5B">
        <w:rPr>
          <w:rFonts w:eastAsia="ＭＳ 明朝"/>
          <w:szCs w:val="22"/>
          <w:lang w:eastAsia="ja-JP"/>
        </w:rPr>
        <w:t xml:space="preserve"> (Alexakhin, 1993; </w:t>
      </w:r>
      <w:r w:rsidR="005E5D29">
        <w:rPr>
          <w:rFonts w:eastAsia="ＭＳ 明朝"/>
          <w:szCs w:val="22"/>
          <w:lang w:eastAsia="ja-JP"/>
        </w:rPr>
        <w:t>Jacob, 2001;</w:t>
      </w:r>
      <w:r w:rsidR="002F0E5B">
        <w:rPr>
          <w:rFonts w:eastAsia="ＭＳ 明朝"/>
          <w:szCs w:val="22"/>
          <w:lang w:eastAsia="ja-JP"/>
        </w:rPr>
        <w:t xml:space="preserve"> IAEA 2006</w:t>
      </w:r>
      <w:r w:rsidR="005E5D29">
        <w:rPr>
          <w:rFonts w:eastAsia="ＭＳ 明朝"/>
          <w:szCs w:val="22"/>
          <w:lang w:eastAsia="ja-JP"/>
        </w:rPr>
        <w:t xml:space="preserve">, </w:t>
      </w:r>
      <w:r w:rsidR="002F0E5B">
        <w:rPr>
          <w:rFonts w:eastAsia="ＭＳ 明朝"/>
          <w:szCs w:val="22"/>
          <w:lang w:eastAsia="ja-JP"/>
        </w:rPr>
        <w:t xml:space="preserve">2012; </w:t>
      </w:r>
      <w:r w:rsidR="005E5D29">
        <w:rPr>
          <w:rFonts w:eastAsia="ＭＳ 明朝"/>
          <w:szCs w:val="22"/>
          <w:lang w:eastAsia="ja-JP"/>
        </w:rPr>
        <w:t xml:space="preserve">Fesenko, 2007; </w:t>
      </w:r>
      <w:r w:rsidR="002F0E5B">
        <w:rPr>
          <w:rFonts w:eastAsia="ＭＳ 明朝"/>
          <w:szCs w:val="22"/>
          <w:lang w:eastAsia="ja-JP"/>
        </w:rPr>
        <w:t>Voigt</w:t>
      </w:r>
      <w:r w:rsidR="00392257">
        <w:rPr>
          <w:rFonts w:eastAsia="ＭＳ 明朝"/>
          <w:szCs w:val="22"/>
          <w:lang w:eastAsia="ja-JP"/>
        </w:rPr>
        <w:t>, 2009)</w:t>
      </w:r>
    </w:p>
    <w:p w14:paraId="5B161859" w14:textId="7918D1D5"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The selection of a suitable technique will depend on a large variety of factors, including stakeholders’ views, the selected reference level, human and financial resources, soil types, groundwater location, protection of the environment, local </w:t>
      </w:r>
      <w:proofErr w:type="gramStart"/>
      <w:r w:rsidRPr="008828DE">
        <w:rPr>
          <w:rFonts w:eastAsia="ＭＳ 明朝"/>
          <w:szCs w:val="22"/>
          <w:lang w:eastAsia="ja-JP"/>
        </w:rPr>
        <w:t>culture</w:t>
      </w:r>
      <w:proofErr w:type="gramEnd"/>
      <w:r w:rsidRPr="008828DE">
        <w:rPr>
          <w:rFonts w:eastAsia="ＭＳ 明朝"/>
          <w:szCs w:val="22"/>
          <w:lang w:eastAsia="ja-JP"/>
        </w:rPr>
        <w:t xml:space="preserve"> and traditions, etc. The soil removal required in the Maralinga case study was balanced with </w:t>
      </w:r>
      <w:r w:rsidR="00D73E4B">
        <w:rPr>
          <w:rFonts w:eastAsia="ＭＳ 明朝"/>
          <w:szCs w:val="22"/>
          <w:lang w:eastAsia="ja-JP"/>
        </w:rPr>
        <w:t xml:space="preserve">land use </w:t>
      </w:r>
      <w:r w:rsidRPr="008828DE">
        <w:rPr>
          <w:rFonts w:eastAsia="ＭＳ 明朝"/>
          <w:szCs w:val="22"/>
          <w:lang w:eastAsia="ja-JP"/>
        </w:rPr>
        <w:t xml:space="preserve">restrictions to avoid environmental and cultural impacts. </w:t>
      </w:r>
      <w:r w:rsidR="00AE044C" w:rsidRPr="008828DE">
        <w:rPr>
          <w:rFonts w:eastAsia="ＭＳ 明朝"/>
          <w:szCs w:val="22"/>
          <w:lang w:eastAsia="ja-JP"/>
        </w:rPr>
        <w:t>Remedia</w:t>
      </w:r>
      <w:r w:rsidR="00AE044C">
        <w:rPr>
          <w:rFonts w:eastAsia="ＭＳ 明朝"/>
          <w:szCs w:val="22"/>
          <w:lang w:eastAsia="ja-JP"/>
        </w:rPr>
        <w:t>l</w:t>
      </w:r>
      <w:r w:rsidR="00AE044C" w:rsidRPr="008828DE">
        <w:rPr>
          <w:rFonts w:eastAsia="ＭＳ 明朝"/>
          <w:szCs w:val="22"/>
          <w:lang w:eastAsia="ja-JP"/>
        </w:rPr>
        <w:t xml:space="preserve"> </w:t>
      </w:r>
      <w:r w:rsidRPr="008828DE">
        <w:rPr>
          <w:rFonts w:eastAsia="ＭＳ 明朝"/>
          <w:szCs w:val="22"/>
          <w:lang w:eastAsia="ja-JP"/>
        </w:rPr>
        <w:t xml:space="preserve">actions on sources were also implemented in the Swiss watch industry case study, such as removal of contaminated objects, removal of floor coverings and blasting of surface paint, </w:t>
      </w:r>
      <w:r w:rsidR="00592267">
        <w:rPr>
          <w:rFonts w:eastAsia="ＭＳ 明朝"/>
          <w:szCs w:val="22"/>
          <w:lang w:eastAsia="ja-JP"/>
        </w:rPr>
        <w:t xml:space="preserve">which reduced </w:t>
      </w:r>
      <w:r w:rsidRPr="008828DE">
        <w:rPr>
          <w:rFonts w:eastAsia="ＭＳ 明朝"/>
          <w:szCs w:val="22"/>
          <w:lang w:eastAsia="ja-JP"/>
        </w:rPr>
        <w:t>the amount of waste generated.</w:t>
      </w:r>
    </w:p>
    <w:p w14:paraId="79B0EB77" w14:textId="013219F4"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Regarding contamination of aquatic ecosystems, possible actions to decrease releases into surface waters, </w:t>
      </w:r>
      <w:r w:rsidR="006D6424">
        <w:rPr>
          <w:rFonts w:eastAsia="ＭＳ 明朝"/>
          <w:szCs w:val="22"/>
          <w:lang w:eastAsia="ja-JP"/>
        </w:rPr>
        <w:t xml:space="preserve">such as the </w:t>
      </w:r>
      <w:r w:rsidRPr="008828DE">
        <w:rPr>
          <w:rFonts w:eastAsia="ＭＳ 明朝"/>
          <w:szCs w:val="22"/>
          <w:lang w:eastAsia="ja-JP"/>
        </w:rPr>
        <w:t xml:space="preserve">construction of dams and by-pass channels, are described in the Techa </w:t>
      </w:r>
      <w:r w:rsidR="006D6424">
        <w:rPr>
          <w:rFonts w:eastAsia="ＭＳ 明朝"/>
          <w:szCs w:val="22"/>
          <w:lang w:eastAsia="ja-JP"/>
        </w:rPr>
        <w:t>R</w:t>
      </w:r>
      <w:r w:rsidRPr="008828DE">
        <w:rPr>
          <w:rFonts w:eastAsia="ＭＳ 明朝"/>
          <w:szCs w:val="22"/>
          <w:lang w:eastAsia="ja-JP"/>
        </w:rPr>
        <w:t xml:space="preserve">iver case study. Other measures include understanding the water chemistry to </w:t>
      </w:r>
      <w:r w:rsidRPr="008828DE">
        <w:rPr>
          <w:rFonts w:eastAsia="ＭＳ 明朝"/>
          <w:szCs w:val="22"/>
          <w:lang w:eastAsia="ja-JP"/>
        </w:rPr>
        <w:lastRenderedPageBreak/>
        <w:t>reduce direct radionuclide uptake and trophic transfer of radionuclides to edible aquatic species (</w:t>
      </w:r>
      <w:r w:rsidR="00821374">
        <w:rPr>
          <w:rFonts w:eastAsia="ＭＳ 明朝"/>
          <w:szCs w:val="22"/>
          <w:lang w:eastAsia="ja-JP"/>
        </w:rPr>
        <w:t>Mokrov</w:t>
      </w:r>
      <w:r w:rsidR="007101A9">
        <w:rPr>
          <w:rFonts w:eastAsia="ＭＳ 明朝"/>
          <w:szCs w:val="22"/>
          <w:lang w:eastAsia="ja-JP"/>
        </w:rPr>
        <w:t>,</w:t>
      </w:r>
      <w:r w:rsidR="007101A9" w:rsidRPr="008828DE">
        <w:rPr>
          <w:rFonts w:eastAsia="ＭＳ 明朝"/>
          <w:szCs w:val="22"/>
          <w:lang w:eastAsia="ja-JP"/>
        </w:rPr>
        <w:t xml:space="preserve"> 2014</w:t>
      </w:r>
      <w:r w:rsidR="007101A9">
        <w:rPr>
          <w:rFonts w:eastAsia="ＭＳ 明朝"/>
          <w:szCs w:val="22"/>
          <w:lang w:eastAsia="ja-JP"/>
        </w:rPr>
        <w:t xml:space="preserve">; </w:t>
      </w:r>
      <w:proofErr w:type="spellStart"/>
      <w:r w:rsidRPr="008828DE">
        <w:rPr>
          <w:rFonts w:eastAsia="ＭＳ 明朝"/>
          <w:szCs w:val="22"/>
          <w:lang w:eastAsia="ja-JP"/>
        </w:rPr>
        <w:t>Shiskina</w:t>
      </w:r>
      <w:proofErr w:type="spellEnd"/>
      <w:r w:rsidRPr="008828DE">
        <w:rPr>
          <w:rFonts w:eastAsia="ＭＳ 明朝"/>
          <w:szCs w:val="22"/>
          <w:lang w:eastAsia="ja-JP"/>
        </w:rPr>
        <w:t xml:space="preserve"> et al</w:t>
      </w:r>
      <w:r w:rsidR="00F131D9">
        <w:rPr>
          <w:rFonts w:eastAsia="ＭＳ 明朝"/>
          <w:szCs w:val="22"/>
          <w:lang w:eastAsia="ja-JP"/>
        </w:rPr>
        <w:t>.</w:t>
      </w:r>
      <w:r w:rsidR="007101A9">
        <w:rPr>
          <w:rFonts w:eastAsia="ＭＳ 明朝"/>
          <w:szCs w:val="22"/>
          <w:lang w:eastAsia="ja-JP"/>
        </w:rPr>
        <w:t>,</w:t>
      </w:r>
      <w:r w:rsidRPr="008828DE">
        <w:rPr>
          <w:rFonts w:eastAsia="ＭＳ 明朝"/>
          <w:szCs w:val="22"/>
          <w:lang w:eastAsia="ja-JP"/>
        </w:rPr>
        <w:t xml:space="preserve"> 2016). </w:t>
      </w:r>
    </w:p>
    <w:p w14:paraId="13462BF8" w14:textId="13FE4390"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Restrictive management options, such as establishing restrictions or limiting access to contaminated areas can also be </w:t>
      </w:r>
      <w:r w:rsidR="00285966" w:rsidRPr="008828DE">
        <w:rPr>
          <w:rFonts w:eastAsia="ＭＳ 明朝"/>
          <w:szCs w:val="22"/>
          <w:lang w:eastAsia="ja-JP"/>
        </w:rPr>
        <w:t>applied but</w:t>
      </w:r>
      <w:r w:rsidRPr="008828DE">
        <w:rPr>
          <w:rFonts w:eastAsia="ＭＳ 明朝"/>
          <w:szCs w:val="22"/>
          <w:lang w:eastAsia="ja-JP"/>
        </w:rPr>
        <w:t xml:space="preserve"> may have consequences on the quality of life of the local inhabitants</w:t>
      </w:r>
      <w:r w:rsidR="00592267">
        <w:rPr>
          <w:rFonts w:eastAsia="ＭＳ 明朝"/>
          <w:szCs w:val="22"/>
          <w:lang w:eastAsia="ja-JP"/>
        </w:rPr>
        <w:t xml:space="preserve"> </w:t>
      </w:r>
      <w:r w:rsidR="001E33A2">
        <w:rPr>
          <w:rFonts w:eastAsia="ＭＳ 明朝"/>
          <w:szCs w:val="22"/>
          <w:lang w:eastAsia="ja-JP"/>
        </w:rPr>
        <w:t xml:space="preserve">and </w:t>
      </w:r>
      <w:r w:rsidR="00592267">
        <w:rPr>
          <w:rFonts w:eastAsia="ＭＳ 明朝"/>
          <w:szCs w:val="22"/>
          <w:lang w:eastAsia="ja-JP"/>
        </w:rPr>
        <w:t>damag</w:t>
      </w:r>
      <w:r w:rsidR="001E33A2">
        <w:rPr>
          <w:rFonts w:eastAsia="ＭＳ 明朝"/>
          <w:szCs w:val="22"/>
          <w:lang w:eastAsia="ja-JP"/>
        </w:rPr>
        <w:t>e</w:t>
      </w:r>
      <w:r w:rsidR="00592267">
        <w:rPr>
          <w:rFonts w:eastAsia="ＭＳ 明朝"/>
          <w:szCs w:val="22"/>
          <w:lang w:eastAsia="ja-JP"/>
        </w:rPr>
        <w:t xml:space="preserve"> the local economy</w:t>
      </w:r>
      <w:r w:rsidRPr="008828DE">
        <w:rPr>
          <w:rFonts w:eastAsia="ＭＳ 明朝"/>
          <w:szCs w:val="22"/>
          <w:lang w:eastAsia="ja-JP"/>
        </w:rPr>
        <w:t xml:space="preserve">. </w:t>
      </w:r>
      <w:r w:rsidR="009902C9">
        <w:rPr>
          <w:rFonts w:eastAsia="ＭＳ 明朝"/>
          <w:szCs w:val="22"/>
          <w:lang w:eastAsia="ja-JP"/>
        </w:rPr>
        <w:t>Consequently</w:t>
      </w:r>
      <w:r w:rsidR="007D6CFC">
        <w:rPr>
          <w:rFonts w:eastAsia="ＭＳ 明朝"/>
          <w:szCs w:val="22"/>
          <w:lang w:eastAsia="ja-JP"/>
        </w:rPr>
        <w:t>, except where decided as part of an optimi</w:t>
      </w:r>
      <w:r w:rsidR="00264B79">
        <w:rPr>
          <w:rFonts w:eastAsia="ＭＳ 明朝"/>
          <w:szCs w:val="22"/>
          <w:lang w:eastAsia="ja-JP"/>
        </w:rPr>
        <w:t>s</w:t>
      </w:r>
      <w:r w:rsidR="007D6CFC">
        <w:rPr>
          <w:rFonts w:eastAsia="ＭＳ 明朝"/>
          <w:szCs w:val="22"/>
          <w:lang w:eastAsia="ja-JP"/>
        </w:rPr>
        <w:t xml:space="preserve">ed strategy </w:t>
      </w:r>
      <w:r w:rsidR="00B13EB8">
        <w:rPr>
          <w:rFonts w:eastAsia="ＭＳ 明朝"/>
          <w:szCs w:val="22"/>
          <w:lang w:eastAsia="ja-JP"/>
        </w:rPr>
        <w:t xml:space="preserve">that includes input from </w:t>
      </w:r>
      <w:r w:rsidR="0025534C">
        <w:rPr>
          <w:rFonts w:eastAsia="ＭＳ 明朝"/>
          <w:szCs w:val="22"/>
          <w:lang w:eastAsia="ja-JP"/>
        </w:rPr>
        <w:t xml:space="preserve">local stakeholders, restricting access to areas </w:t>
      </w:r>
      <w:r w:rsidR="00C70C6C">
        <w:rPr>
          <w:rFonts w:eastAsia="ＭＳ 明朝"/>
          <w:szCs w:val="22"/>
          <w:lang w:eastAsia="ja-JP"/>
        </w:rPr>
        <w:t xml:space="preserve">of land indefinitely should not be viewed </w:t>
      </w:r>
      <w:r w:rsidR="00730F05">
        <w:rPr>
          <w:rFonts w:eastAsia="ＭＳ 明朝"/>
          <w:szCs w:val="22"/>
          <w:lang w:eastAsia="ja-JP"/>
        </w:rPr>
        <w:t xml:space="preserve">as an acceptable long-term strategy. </w:t>
      </w:r>
      <w:r w:rsidRPr="00D02C91">
        <w:rPr>
          <w:rFonts w:eastAsia="ＭＳ 明朝"/>
          <w:szCs w:val="22"/>
          <w:lang w:eastAsia="ja-JP"/>
        </w:rPr>
        <w:t xml:space="preserve">In the Dalgety Bay case study, part of the beach where the radioactive particles of the highest activities </w:t>
      </w:r>
      <w:r w:rsidR="00D02C91">
        <w:rPr>
          <w:rFonts w:eastAsia="ＭＳ 明朝"/>
          <w:szCs w:val="22"/>
          <w:lang w:eastAsia="ja-JP"/>
        </w:rPr>
        <w:t>were</w:t>
      </w:r>
      <w:r w:rsidRPr="00D02C91">
        <w:rPr>
          <w:rFonts w:eastAsia="ＭＳ 明朝"/>
          <w:szCs w:val="22"/>
          <w:lang w:eastAsia="ja-JP"/>
        </w:rPr>
        <w:t xml:space="preserve"> found </w:t>
      </w:r>
      <w:r w:rsidR="0076759A">
        <w:rPr>
          <w:rFonts w:eastAsia="ＭＳ 明朝"/>
          <w:szCs w:val="22"/>
          <w:lang w:eastAsia="ja-JP"/>
        </w:rPr>
        <w:t>was</w:t>
      </w:r>
      <w:r w:rsidRPr="00D02C91">
        <w:rPr>
          <w:rFonts w:eastAsia="ＭＳ 明朝"/>
          <w:szCs w:val="22"/>
          <w:lang w:eastAsia="ja-JP"/>
        </w:rPr>
        <w:t xml:space="preserve"> closed to the public, and the collection of fish and shellfish for human consumption </w:t>
      </w:r>
      <w:r w:rsidR="0076759A">
        <w:rPr>
          <w:rFonts w:eastAsia="ＭＳ 明朝"/>
          <w:szCs w:val="22"/>
          <w:lang w:eastAsia="ja-JP"/>
        </w:rPr>
        <w:t>was</w:t>
      </w:r>
      <w:r w:rsidRPr="00D02C91">
        <w:rPr>
          <w:rFonts w:eastAsia="ＭＳ 明朝"/>
          <w:szCs w:val="22"/>
          <w:lang w:eastAsia="ja-JP"/>
        </w:rPr>
        <w:t xml:space="preserve"> prohibited.</w:t>
      </w:r>
      <w:r w:rsidRPr="008828DE">
        <w:rPr>
          <w:rFonts w:eastAsia="ＭＳ 明朝"/>
          <w:szCs w:val="22"/>
          <w:lang w:eastAsia="ja-JP"/>
        </w:rPr>
        <w:t xml:space="preserve"> Restrictions, such as </w:t>
      </w:r>
      <w:r w:rsidR="00E36E0F">
        <w:rPr>
          <w:rFonts w:eastAsia="ＭＳ 明朝"/>
          <w:szCs w:val="22"/>
          <w:lang w:eastAsia="ja-JP"/>
        </w:rPr>
        <w:t>th</w:t>
      </w:r>
      <w:r w:rsidR="00C12425">
        <w:rPr>
          <w:rFonts w:eastAsia="ＭＳ 明朝"/>
          <w:szCs w:val="22"/>
          <w:lang w:eastAsia="ja-JP"/>
        </w:rPr>
        <w:t xml:space="preserve">e </w:t>
      </w:r>
      <w:r w:rsidRPr="008828DE">
        <w:rPr>
          <w:rFonts w:eastAsia="ＭＳ 明朝"/>
          <w:szCs w:val="22"/>
          <w:lang w:eastAsia="ja-JP"/>
        </w:rPr>
        <w:t xml:space="preserve">prohibition of fishing and consumption of water and </w:t>
      </w:r>
      <w:r w:rsidR="00D41E99">
        <w:rPr>
          <w:rFonts w:eastAsia="ＭＳ 明朝"/>
          <w:szCs w:val="22"/>
          <w:lang w:eastAsia="ja-JP"/>
        </w:rPr>
        <w:t xml:space="preserve">the </w:t>
      </w:r>
      <w:r w:rsidRPr="008828DE">
        <w:rPr>
          <w:rFonts w:eastAsia="ＭＳ 明朝"/>
          <w:szCs w:val="22"/>
          <w:lang w:eastAsia="ja-JP"/>
        </w:rPr>
        <w:t xml:space="preserve">prohibition of the use of flood plains for pasturing cattle, were also applied in the case of the Techa </w:t>
      </w:r>
      <w:r w:rsidR="00C12425">
        <w:rPr>
          <w:rFonts w:eastAsia="ＭＳ 明朝"/>
          <w:szCs w:val="22"/>
          <w:lang w:eastAsia="ja-JP"/>
        </w:rPr>
        <w:t>R</w:t>
      </w:r>
      <w:r w:rsidRPr="008828DE">
        <w:rPr>
          <w:rFonts w:eastAsia="ＭＳ 明朝"/>
          <w:szCs w:val="22"/>
          <w:lang w:eastAsia="ja-JP"/>
        </w:rPr>
        <w:t xml:space="preserve">iver contamination. In the Maralinga case study, land use restrictions limited activities to </w:t>
      </w:r>
      <w:r w:rsidR="007E7801">
        <w:rPr>
          <w:rFonts w:eastAsia="ＭＳ 明朝"/>
          <w:szCs w:val="22"/>
          <w:lang w:eastAsia="ja-JP"/>
        </w:rPr>
        <w:t>‘</w:t>
      </w:r>
      <w:r w:rsidRPr="008828DE">
        <w:rPr>
          <w:rFonts w:eastAsia="ＭＳ 明朝"/>
          <w:szCs w:val="22"/>
          <w:lang w:eastAsia="ja-JP"/>
        </w:rPr>
        <w:t>casual use</w:t>
      </w:r>
      <w:r w:rsidR="007E7801">
        <w:rPr>
          <w:rFonts w:eastAsia="ＭＳ 明朝"/>
          <w:szCs w:val="22"/>
          <w:lang w:eastAsia="ja-JP"/>
        </w:rPr>
        <w:t>’</w:t>
      </w:r>
      <w:r w:rsidRPr="008828DE">
        <w:rPr>
          <w:rFonts w:eastAsia="ＭＳ 明朝"/>
          <w:szCs w:val="22"/>
          <w:lang w:eastAsia="ja-JP"/>
        </w:rPr>
        <w:t xml:space="preserve">, such as transit and hunting, resulting in much lower occupancy within the boundary of the area of restricted use. After successful remediation, </w:t>
      </w:r>
      <w:r w:rsidR="00A22A45">
        <w:rPr>
          <w:rFonts w:eastAsia="ＭＳ 明朝"/>
          <w:szCs w:val="22"/>
          <w:lang w:eastAsia="ja-JP"/>
        </w:rPr>
        <w:t xml:space="preserve">land use </w:t>
      </w:r>
      <w:r w:rsidRPr="008828DE">
        <w:rPr>
          <w:rFonts w:eastAsia="ＭＳ 明朝"/>
          <w:szCs w:val="22"/>
          <w:lang w:eastAsia="ja-JP"/>
        </w:rPr>
        <w:t xml:space="preserve">restrictions are now only limited to restricting access to burial trenches where </w:t>
      </w:r>
      <w:r w:rsidR="006D3DFA">
        <w:rPr>
          <w:rFonts w:eastAsia="ＭＳ 明朝"/>
          <w:szCs w:val="22"/>
          <w:lang w:eastAsia="ja-JP"/>
        </w:rPr>
        <w:t xml:space="preserve">signs </w:t>
      </w:r>
      <w:r w:rsidRPr="008828DE">
        <w:rPr>
          <w:rFonts w:eastAsia="ＭＳ 明朝"/>
          <w:szCs w:val="22"/>
          <w:lang w:eastAsia="ja-JP"/>
        </w:rPr>
        <w:t>have been posted to discourage intrusion.</w:t>
      </w:r>
    </w:p>
    <w:p w14:paraId="061186C3" w14:textId="6A39F8E2" w:rsidR="008828DE" w:rsidRPr="00386211" w:rsidRDefault="008828DE" w:rsidP="00C86AB3">
      <w:pPr>
        <w:numPr>
          <w:ilvl w:val="0"/>
          <w:numId w:val="13"/>
        </w:numPr>
        <w:tabs>
          <w:tab w:val="num" w:pos="634"/>
          <w:tab w:val="left" w:pos="851"/>
        </w:tabs>
        <w:ind w:left="0"/>
        <w:jc w:val="both"/>
        <w:rPr>
          <w:rFonts w:eastAsia="ＭＳ 明朝"/>
          <w:szCs w:val="22"/>
          <w:lang w:eastAsia="ja-JP"/>
        </w:rPr>
      </w:pPr>
      <w:r w:rsidRPr="00386211">
        <w:rPr>
          <w:rFonts w:eastAsia="ＭＳ 明朝"/>
          <w:szCs w:val="22"/>
          <w:lang w:eastAsia="ja-JP"/>
        </w:rPr>
        <w:t>The involvement of affected individuals in the implementation of the protection strategy is referred to as ‘self‑help protective actions’ (</w:t>
      </w:r>
      <w:r w:rsidR="00D372D6" w:rsidRPr="00386211">
        <w:rPr>
          <w:rFonts w:eastAsia="ＭＳ 明朝"/>
          <w:szCs w:val="22"/>
          <w:lang w:eastAsia="ja-JP"/>
        </w:rPr>
        <w:t>ICRP, 2020</w:t>
      </w:r>
      <w:r w:rsidRPr="00386211">
        <w:rPr>
          <w:rFonts w:eastAsia="ＭＳ 明朝"/>
          <w:szCs w:val="22"/>
          <w:lang w:eastAsia="ja-JP"/>
        </w:rPr>
        <w:t xml:space="preserve">). These protective actions are more likely to be effective </w:t>
      </w:r>
      <w:r w:rsidR="000303A1">
        <w:rPr>
          <w:rFonts w:eastAsia="ＭＳ 明朝"/>
          <w:szCs w:val="22"/>
          <w:lang w:eastAsia="ja-JP"/>
        </w:rPr>
        <w:t xml:space="preserve">and achieve an expected outcome </w:t>
      </w:r>
      <w:r w:rsidRPr="00386211">
        <w:rPr>
          <w:rFonts w:eastAsia="ＭＳ 明朝"/>
          <w:szCs w:val="22"/>
          <w:lang w:eastAsia="ja-JP"/>
        </w:rPr>
        <w:t xml:space="preserve">in situations where individual or community lifestyles are a significant factor in the exposures received. </w:t>
      </w:r>
      <w:r w:rsidR="00D372D6" w:rsidRPr="00386211">
        <w:rPr>
          <w:rFonts w:eastAsia="ＭＳ 明朝"/>
          <w:szCs w:val="22"/>
          <w:lang w:eastAsia="ja-JP"/>
        </w:rPr>
        <w:t>Both local people and authorities</w:t>
      </w:r>
      <w:r w:rsidR="00386211" w:rsidRPr="00386211">
        <w:rPr>
          <w:rFonts w:eastAsia="ＭＳ 明朝"/>
          <w:szCs w:val="22"/>
          <w:lang w:eastAsia="ja-JP"/>
        </w:rPr>
        <w:t xml:space="preserve"> work together</w:t>
      </w:r>
      <w:r w:rsidR="00D372D6" w:rsidRPr="00386211">
        <w:rPr>
          <w:rFonts w:eastAsia="ＭＳ 明朝"/>
          <w:szCs w:val="22"/>
          <w:lang w:eastAsia="ja-JP"/>
        </w:rPr>
        <w:t xml:space="preserve"> to identify possible protective actions appropriate to the local situation to reduce av</w:t>
      </w:r>
      <w:r w:rsidR="00386211">
        <w:rPr>
          <w:rFonts w:eastAsia="ＭＳ 明朝"/>
          <w:szCs w:val="22"/>
          <w:lang w:eastAsia="ja-JP"/>
        </w:rPr>
        <w:t xml:space="preserve">oidable individual exposures. This allows </w:t>
      </w:r>
      <w:r w:rsidR="00D372D6" w:rsidRPr="00386211">
        <w:rPr>
          <w:rFonts w:eastAsia="ＭＳ 明朝"/>
          <w:szCs w:val="22"/>
          <w:lang w:eastAsia="ja-JP"/>
        </w:rPr>
        <w:t>the identification of self-help protective actions that affected individuals</w:t>
      </w:r>
      <w:r w:rsidR="00841E99">
        <w:rPr>
          <w:rFonts w:eastAsia="ＭＳ 明朝"/>
          <w:szCs w:val="22"/>
          <w:lang w:eastAsia="ja-JP"/>
        </w:rPr>
        <w:t xml:space="preserve"> can implement</w:t>
      </w:r>
      <w:r w:rsidR="007564AC">
        <w:rPr>
          <w:rFonts w:eastAsia="ＭＳ 明朝"/>
          <w:szCs w:val="22"/>
          <w:lang w:eastAsia="ja-JP"/>
        </w:rPr>
        <w:t>.</w:t>
      </w:r>
      <w:r w:rsidR="00D372D6" w:rsidRPr="00386211">
        <w:rPr>
          <w:rFonts w:eastAsia="ＭＳ 明朝"/>
          <w:szCs w:val="22"/>
          <w:lang w:eastAsia="ja-JP"/>
        </w:rPr>
        <w:t xml:space="preserve"> </w:t>
      </w:r>
      <w:r w:rsidRPr="00386211">
        <w:rPr>
          <w:rFonts w:eastAsia="ＭＳ 明朝"/>
          <w:szCs w:val="22"/>
          <w:lang w:eastAsia="ja-JP"/>
        </w:rPr>
        <w:t>For areas contaminated by past activities, self‑help protective actions mainly consist of limiting the time spent in certain areas</w:t>
      </w:r>
      <w:r w:rsidR="001916EB">
        <w:rPr>
          <w:rFonts w:eastAsia="ＭＳ 明朝"/>
          <w:szCs w:val="22"/>
          <w:lang w:eastAsia="ja-JP"/>
        </w:rPr>
        <w:t>,</w:t>
      </w:r>
      <w:r w:rsidR="0069298B">
        <w:rPr>
          <w:rFonts w:eastAsia="ＭＳ 明朝"/>
          <w:szCs w:val="22"/>
          <w:lang w:eastAsia="ja-JP"/>
        </w:rPr>
        <w:t xml:space="preserve"> </w:t>
      </w:r>
      <w:r w:rsidRPr="00386211">
        <w:rPr>
          <w:rFonts w:eastAsia="ＭＳ 明朝"/>
          <w:szCs w:val="22"/>
          <w:lang w:eastAsia="ja-JP"/>
        </w:rPr>
        <w:t>no longer consuming certain locally</w:t>
      </w:r>
      <w:r w:rsidR="001916EB">
        <w:rPr>
          <w:rFonts w:eastAsia="ＭＳ 明朝"/>
          <w:szCs w:val="22"/>
          <w:lang w:eastAsia="ja-JP"/>
        </w:rPr>
        <w:t xml:space="preserve"> </w:t>
      </w:r>
      <w:r w:rsidRPr="00386211">
        <w:rPr>
          <w:rFonts w:eastAsia="ＭＳ 明朝"/>
          <w:szCs w:val="22"/>
          <w:lang w:eastAsia="ja-JP"/>
        </w:rPr>
        <w:t>produced foodstuffs (or reducing the amount consumed)</w:t>
      </w:r>
      <w:r w:rsidR="00F5399E">
        <w:rPr>
          <w:rFonts w:eastAsia="ＭＳ 明朝"/>
          <w:szCs w:val="22"/>
          <w:lang w:eastAsia="ja-JP"/>
        </w:rPr>
        <w:t xml:space="preserve"> or</w:t>
      </w:r>
      <w:r w:rsidR="001916EB">
        <w:rPr>
          <w:rFonts w:eastAsia="ＭＳ 明朝"/>
          <w:szCs w:val="22"/>
          <w:lang w:eastAsia="ja-JP"/>
        </w:rPr>
        <w:t>, in some cases,</w:t>
      </w:r>
      <w:r w:rsidR="00F5399E">
        <w:rPr>
          <w:rFonts w:eastAsia="ＭＳ 明朝"/>
          <w:szCs w:val="22"/>
          <w:lang w:eastAsia="ja-JP"/>
        </w:rPr>
        <w:t xml:space="preserve"> </w:t>
      </w:r>
      <w:r w:rsidR="001916EB">
        <w:rPr>
          <w:rFonts w:eastAsia="ＭＳ 明朝"/>
          <w:szCs w:val="22"/>
          <w:lang w:eastAsia="ja-JP"/>
        </w:rPr>
        <w:t>m</w:t>
      </w:r>
      <w:r w:rsidR="00F5399E">
        <w:rPr>
          <w:rFonts w:eastAsia="ＭＳ 明朝"/>
          <w:szCs w:val="22"/>
          <w:lang w:eastAsia="ja-JP"/>
        </w:rPr>
        <w:t>onitoring of gardens</w:t>
      </w:r>
      <w:r w:rsidRPr="00386211">
        <w:rPr>
          <w:rFonts w:eastAsia="ＭＳ 明朝"/>
          <w:szCs w:val="22"/>
          <w:lang w:eastAsia="ja-JP"/>
        </w:rPr>
        <w:t xml:space="preserve">. Their effective implementation depends on individuals being aware of the situation and well informed about the implications of their actions and the associated benefits of </w:t>
      </w:r>
      <w:r w:rsidR="0069298B">
        <w:rPr>
          <w:rFonts w:eastAsia="ＭＳ 明朝"/>
          <w:szCs w:val="22"/>
          <w:lang w:eastAsia="ja-JP"/>
        </w:rPr>
        <w:t>the</w:t>
      </w:r>
      <w:r w:rsidR="0069298B" w:rsidRPr="00386211">
        <w:rPr>
          <w:rFonts w:eastAsia="ＭＳ 明朝"/>
          <w:szCs w:val="22"/>
          <w:lang w:eastAsia="ja-JP"/>
        </w:rPr>
        <w:t xml:space="preserve"> </w:t>
      </w:r>
      <w:r w:rsidRPr="00386211">
        <w:rPr>
          <w:rFonts w:eastAsia="ＭＳ 明朝"/>
          <w:szCs w:val="22"/>
          <w:lang w:eastAsia="ja-JP"/>
        </w:rPr>
        <w:t>decisions they may make.</w:t>
      </w:r>
    </w:p>
    <w:p w14:paraId="696BAD1F" w14:textId="77777777" w:rsidR="008828DE" w:rsidRPr="008828DE" w:rsidRDefault="008828DE" w:rsidP="00511168">
      <w:pPr>
        <w:tabs>
          <w:tab w:val="left" w:pos="709"/>
        </w:tabs>
        <w:spacing w:before="240" w:after="240"/>
        <w:outlineLvl w:val="2"/>
        <w:rPr>
          <w:rFonts w:eastAsia="ＭＳ 明朝"/>
          <w:b/>
          <w:szCs w:val="22"/>
          <w:lang w:eastAsia="ja-JP"/>
        </w:rPr>
      </w:pPr>
      <w:bookmarkStart w:id="93" w:name="_Toc117873843"/>
      <w:bookmarkStart w:id="94" w:name="_Toc159175963"/>
      <w:bookmarkStart w:id="95" w:name="_Toc159397483"/>
      <w:r w:rsidRPr="008828DE">
        <w:rPr>
          <w:rFonts w:eastAsia="ＭＳ 明朝"/>
          <w:b/>
          <w:szCs w:val="22"/>
          <w:lang w:eastAsia="ja-JP"/>
        </w:rPr>
        <w:t>4.4.5.</w:t>
      </w:r>
      <w:r w:rsidRPr="008828DE">
        <w:rPr>
          <w:rFonts w:eastAsia="ＭＳ 明朝"/>
          <w:b/>
          <w:szCs w:val="22"/>
          <w:lang w:eastAsia="ja-JP"/>
        </w:rPr>
        <w:tab/>
        <w:t>Management of residues and waste generated by the remediation process</w:t>
      </w:r>
      <w:bookmarkEnd w:id="93"/>
      <w:bookmarkEnd w:id="94"/>
      <w:bookmarkEnd w:id="95"/>
    </w:p>
    <w:p w14:paraId="62DD66A3" w14:textId="62C2E32A" w:rsidR="008828DE" w:rsidRDefault="008828DE" w:rsidP="00754334">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Remediation of a contaminated area generate</w:t>
      </w:r>
      <w:r w:rsidR="00FF49BD">
        <w:rPr>
          <w:rFonts w:eastAsia="ＭＳ 明朝"/>
          <w:szCs w:val="22"/>
          <w:lang w:eastAsia="ja-JP"/>
        </w:rPr>
        <w:t>s</w:t>
      </w:r>
      <w:r w:rsidRPr="008828DE">
        <w:rPr>
          <w:rFonts w:eastAsia="ＭＳ 明朝"/>
          <w:szCs w:val="22"/>
          <w:lang w:eastAsia="ja-JP"/>
        </w:rPr>
        <w:t xml:space="preserve"> </w:t>
      </w:r>
      <w:r w:rsidR="00815944">
        <w:rPr>
          <w:rFonts w:eastAsia="ＭＳ 明朝"/>
          <w:szCs w:val="22"/>
          <w:lang w:eastAsia="ja-JP"/>
        </w:rPr>
        <w:t xml:space="preserve">residual material, including </w:t>
      </w:r>
      <w:r w:rsidR="00981CE8">
        <w:rPr>
          <w:rFonts w:eastAsia="ＭＳ 明朝"/>
          <w:szCs w:val="22"/>
          <w:lang w:eastAsia="ja-JP"/>
        </w:rPr>
        <w:t xml:space="preserve">radioactive </w:t>
      </w:r>
      <w:r w:rsidR="00981CE8" w:rsidRPr="008828DE">
        <w:rPr>
          <w:rFonts w:eastAsia="ＭＳ 明朝"/>
          <w:szCs w:val="22"/>
          <w:lang w:eastAsia="ja-JP"/>
        </w:rPr>
        <w:t>waste</w:t>
      </w:r>
      <w:r w:rsidRPr="008828DE">
        <w:rPr>
          <w:rFonts w:eastAsia="ＭＳ 明朝"/>
          <w:szCs w:val="22"/>
          <w:lang w:eastAsia="ja-JP"/>
        </w:rPr>
        <w:t xml:space="preserve"> containing radioactive and non-radioactive contaminants, both of which should be managed appropriately. This material could include tailings, mineral</w:t>
      </w:r>
      <w:r w:rsidR="002D67F8">
        <w:rPr>
          <w:rFonts w:eastAsia="ＭＳ 明朝"/>
          <w:szCs w:val="22"/>
          <w:lang w:eastAsia="ja-JP"/>
        </w:rPr>
        <w:t>is</w:t>
      </w:r>
      <w:r w:rsidRPr="008828DE">
        <w:rPr>
          <w:rFonts w:eastAsia="ＭＳ 明朝"/>
          <w:szCs w:val="22"/>
          <w:lang w:eastAsia="ja-JP"/>
        </w:rPr>
        <w:t>ed rock, resins, soils, liquids, sediments, surface</w:t>
      </w:r>
      <w:r w:rsidR="000972BD">
        <w:rPr>
          <w:rFonts w:eastAsia="ＭＳ 明朝"/>
          <w:szCs w:val="22"/>
          <w:lang w:eastAsia="ja-JP"/>
        </w:rPr>
        <w:t>-</w:t>
      </w:r>
      <w:r w:rsidRPr="008828DE">
        <w:rPr>
          <w:rFonts w:eastAsia="ＭＳ 明朝"/>
          <w:szCs w:val="22"/>
          <w:lang w:eastAsia="ja-JP"/>
        </w:rPr>
        <w:t>contaminated objects, metal, concrete, etc.</w:t>
      </w:r>
      <w:r w:rsidR="00174A4C" w:rsidRPr="00174A4C">
        <w:t xml:space="preserve"> </w:t>
      </w:r>
      <w:r w:rsidR="00174A4C" w:rsidRPr="00174A4C">
        <w:rPr>
          <w:rFonts w:eastAsia="ＭＳ 明朝"/>
          <w:szCs w:val="22"/>
          <w:lang w:eastAsia="ja-JP"/>
        </w:rPr>
        <w:t xml:space="preserve">Not all </w:t>
      </w:r>
      <w:r w:rsidR="00174A4C">
        <w:rPr>
          <w:rFonts w:eastAsia="ＭＳ 明朝"/>
          <w:szCs w:val="22"/>
          <w:lang w:eastAsia="ja-JP"/>
        </w:rPr>
        <w:t xml:space="preserve">the </w:t>
      </w:r>
      <w:r w:rsidR="00174A4C" w:rsidRPr="00174A4C">
        <w:rPr>
          <w:rFonts w:eastAsia="ＭＳ 明朝"/>
          <w:szCs w:val="22"/>
          <w:lang w:eastAsia="ja-JP"/>
        </w:rPr>
        <w:t xml:space="preserve">residual material generated during remediation will be contaminated such that it meets the </w:t>
      </w:r>
      <w:r w:rsidR="00174A4C">
        <w:rPr>
          <w:rFonts w:eastAsia="ＭＳ 明朝"/>
          <w:szCs w:val="22"/>
          <w:lang w:eastAsia="ja-JP"/>
        </w:rPr>
        <w:t>definition of radioactive waste.</w:t>
      </w:r>
      <w:r w:rsidRPr="008828DE">
        <w:rPr>
          <w:rFonts w:eastAsia="ＭＳ 明朝"/>
          <w:szCs w:val="22"/>
          <w:lang w:eastAsia="ja-JP"/>
        </w:rPr>
        <w:t xml:space="preserve"> </w:t>
      </w:r>
      <w:r w:rsidR="00BE210F" w:rsidRPr="00BE210F">
        <w:rPr>
          <w:rFonts w:eastAsia="ＭＳ 明朝"/>
          <w:szCs w:val="22"/>
          <w:lang w:eastAsia="ja-JP"/>
        </w:rPr>
        <w:t>Radioactive waste has a wide variety of characteristics</w:t>
      </w:r>
      <w:r w:rsidR="00752F1E">
        <w:rPr>
          <w:rFonts w:eastAsia="ＭＳ 明朝"/>
          <w:szCs w:val="22"/>
          <w:lang w:eastAsia="ja-JP"/>
        </w:rPr>
        <w:t>,</w:t>
      </w:r>
      <w:r w:rsidR="00BE210F" w:rsidRPr="00BE210F">
        <w:rPr>
          <w:rFonts w:eastAsia="ＭＳ 明朝"/>
          <w:szCs w:val="22"/>
          <w:lang w:eastAsia="ja-JP"/>
        </w:rPr>
        <w:t xml:space="preserve"> and precise classification schemes vary between different regulatory regimes. The IAEA document Classification of Radioactive Waste General Safety Guide No. GSG-1 (IAEA, 2009) provides a useful scheme that has six classes of waste from Exempt Waste (below concern from the </w:t>
      </w:r>
      <w:r w:rsidR="00C86AB3" w:rsidRPr="00BE210F">
        <w:rPr>
          <w:rFonts w:eastAsia="ＭＳ 明朝"/>
          <w:szCs w:val="22"/>
          <w:lang w:eastAsia="ja-JP"/>
        </w:rPr>
        <w:t>radiological protection</w:t>
      </w:r>
      <w:r w:rsidR="00BE210F" w:rsidRPr="00BE210F">
        <w:rPr>
          <w:rFonts w:eastAsia="ＭＳ 明朝"/>
          <w:szCs w:val="22"/>
          <w:lang w:eastAsia="ja-JP"/>
        </w:rPr>
        <w:t xml:space="preserve"> perspective) to High-Level Waste</w:t>
      </w:r>
      <w:r w:rsidR="00351405">
        <w:rPr>
          <w:rFonts w:eastAsia="ＭＳ 明朝"/>
          <w:szCs w:val="22"/>
          <w:lang w:eastAsia="ja-JP"/>
        </w:rPr>
        <w:t>.</w:t>
      </w:r>
      <w:r w:rsidR="00BE210F" w:rsidRPr="00BE210F">
        <w:rPr>
          <w:rFonts w:eastAsia="ＭＳ 明朝"/>
          <w:szCs w:val="22"/>
          <w:lang w:eastAsia="ja-JP"/>
        </w:rPr>
        <w:t xml:space="preserve"> </w:t>
      </w:r>
      <w:r w:rsidR="00253C1A">
        <w:rPr>
          <w:rFonts w:eastAsia="ＭＳ 明朝"/>
          <w:szCs w:val="22"/>
          <w:lang w:eastAsia="ja-JP"/>
        </w:rPr>
        <w:t>Some residues</w:t>
      </w:r>
      <w:r w:rsidR="009021C8" w:rsidRPr="008828DE">
        <w:rPr>
          <w:rFonts w:eastAsia="ＭＳ 明朝"/>
          <w:szCs w:val="22"/>
          <w:lang w:eastAsia="ja-JP"/>
        </w:rPr>
        <w:t xml:space="preserve"> can be recycled </w:t>
      </w:r>
      <w:r w:rsidR="00822517">
        <w:rPr>
          <w:rFonts w:eastAsia="ＭＳ 明朝"/>
          <w:szCs w:val="22"/>
          <w:lang w:eastAsia="ja-JP"/>
        </w:rPr>
        <w:t>o</w:t>
      </w:r>
      <w:r w:rsidR="009021C8" w:rsidRPr="008828DE">
        <w:rPr>
          <w:rFonts w:eastAsia="ＭＳ 明朝"/>
          <w:szCs w:val="22"/>
          <w:lang w:eastAsia="ja-JP"/>
        </w:rPr>
        <w:t>r reused</w:t>
      </w:r>
      <w:r w:rsidR="009021C8">
        <w:rPr>
          <w:rFonts w:eastAsia="ＭＳ 明朝"/>
          <w:szCs w:val="22"/>
          <w:lang w:eastAsia="ja-JP"/>
        </w:rPr>
        <w:t xml:space="preserve">, such as residues produced from </w:t>
      </w:r>
      <w:proofErr w:type="gramStart"/>
      <w:r w:rsidR="009021C8">
        <w:rPr>
          <w:rFonts w:eastAsia="ＭＳ 明朝"/>
          <w:szCs w:val="22"/>
          <w:lang w:eastAsia="ja-JP"/>
        </w:rPr>
        <w:t>mine</w:t>
      </w:r>
      <w:proofErr w:type="gramEnd"/>
      <w:r w:rsidR="009021C8">
        <w:rPr>
          <w:rFonts w:eastAsia="ＭＳ 明朝"/>
          <w:szCs w:val="22"/>
          <w:lang w:eastAsia="ja-JP"/>
        </w:rPr>
        <w:t xml:space="preserve"> processing. </w:t>
      </w:r>
      <w:r w:rsidR="009021C8" w:rsidRPr="009021C8">
        <w:rPr>
          <w:rFonts w:eastAsia="ＭＳ 明朝"/>
          <w:szCs w:val="22"/>
          <w:lang w:eastAsia="ja-JP"/>
        </w:rPr>
        <w:t>In the context of the Commission’s recommendations, residual materials are designated as radioactive waste that need</w:t>
      </w:r>
      <w:r w:rsidR="000C7E4D">
        <w:rPr>
          <w:rFonts w:eastAsia="ＭＳ 明朝"/>
          <w:szCs w:val="22"/>
          <w:lang w:eastAsia="ja-JP"/>
        </w:rPr>
        <w:t>s</w:t>
      </w:r>
      <w:r w:rsidR="009021C8" w:rsidRPr="009021C8">
        <w:rPr>
          <w:rFonts w:eastAsia="ＭＳ 明朝"/>
          <w:szCs w:val="22"/>
          <w:lang w:eastAsia="ja-JP"/>
        </w:rPr>
        <w:t xml:space="preserve"> disposal when these materials cannot be recycled, </w:t>
      </w:r>
      <w:proofErr w:type="gramStart"/>
      <w:r w:rsidR="009021C8" w:rsidRPr="009021C8">
        <w:rPr>
          <w:rFonts w:eastAsia="ＭＳ 明朝"/>
          <w:szCs w:val="22"/>
          <w:lang w:eastAsia="ja-JP"/>
        </w:rPr>
        <w:t>reused</w:t>
      </w:r>
      <w:proofErr w:type="gramEnd"/>
      <w:r w:rsidR="009021C8" w:rsidRPr="009021C8">
        <w:rPr>
          <w:rFonts w:eastAsia="ＭＳ 明朝"/>
          <w:szCs w:val="22"/>
          <w:lang w:eastAsia="ja-JP"/>
        </w:rPr>
        <w:t xml:space="preserve"> or cleared from further control </w:t>
      </w:r>
      <w:r w:rsidR="004F322D">
        <w:rPr>
          <w:rFonts w:eastAsia="ＭＳ 明朝"/>
          <w:szCs w:val="22"/>
          <w:lang w:eastAsia="ja-JP"/>
        </w:rPr>
        <w:t>(</w:t>
      </w:r>
      <w:r w:rsidR="009021C8" w:rsidRPr="009021C8">
        <w:rPr>
          <w:rFonts w:eastAsia="ＭＳ 明朝"/>
          <w:szCs w:val="22"/>
          <w:lang w:eastAsia="ja-JP"/>
        </w:rPr>
        <w:t>ICRP</w:t>
      </w:r>
      <w:r w:rsidR="007E7801">
        <w:rPr>
          <w:rFonts w:eastAsia="ＭＳ 明朝"/>
          <w:szCs w:val="22"/>
          <w:lang w:eastAsia="ja-JP"/>
        </w:rPr>
        <w:t>,</w:t>
      </w:r>
      <w:r w:rsidR="009021C8" w:rsidRPr="009021C8">
        <w:rPr>
          <w:rFonts w:eastAsia="ＭＳ 明朝"/>
          <w:szCs w:val="22"/>
          <w:lang w:eastAsia="ja-JP"/>
        </w:rPr>
        <w:t xml:space="preserve"> </w:t>
      </w:r>
      <w:r w:rsidR="007E7801">
        <w:rPr>
          <w:rFonts w:eastAsia="ＭＳ 明朝"/>
          <w:szCs w:val="22"/>
          <w:lang w:eastAsia="ja-JP"/>
        </w:rPr>
        <w:t>2024</w:t>
      </w:r>
      <w:r w:rsidR="004F322D">
        <w:rPr>
          <w:rFonts w:eastAsia="ＭＳ 明朝"/>
          <w:szCs w:val="22"/>
          <w:lang w:eastAsia="ja-JP"/>
        </w:rPr>
        <w:t>)</w:t>
      </w:r>
      <w:r w:rsidR="009021C8" w:rsidRPr="009021C8">
        <w:rPr>
          <w:rFonts w:eastAsia="ＭＳ 明朝"/>
          <w:szCs w:val="22"/>
          <w:lang w:eastAsia="ja-JP"/>
        </w:rPr>
        <w:t xml:space="preserve">.  </w:t>
      </w:r>
    </w:p>
    <w:p w14:paraId="62B75607" w14:textId="1D5DA5B0" w:rsidR="00065331" w:rsidRPr="008828DE" w:rsidRDefault="00065331" w:rsidP="00C86AB3">
      <w:pPr>
        <w:numPr>
          <w:ilvl w:val="0"/>
          <w:numId w:val="13"/>
        </w:numPr>
        <w:tabs>
          <w:tab w:val="num" w:pos="634"/>
          <w:tab w:val="left" w:pos="851"/>
        </w:tabs>
        <w:ind w:left="0"/>
        <w:jc w:val="both"/>
        <w:rPr>
          <w:rFonts w:eastAsia="ＭＳ 明朝"/>
          <w:szCs w:val="22"/>
          <w:lang w:eastAsia="ja-JP"/>
        </w:rPr>
      </w:pPr>
      <w:r>
        <w:rPr>
          <w:rFonts w:eastAsia="ＭＳ 明朝"/>
          <w:szCs w:val="22"/>
          <w:lang w:eastAsia="ja-JP"/>
        </w:rPr>
        <w:t xml:space="preserve">The regulatory framework should </w:t>
      </w:r>
      <w:r w:rsidR="00543AA4">
        <w:rPr>
          <w:rFonts w:eastAsia="ＭＳ 明朝"/>
          <w:szCs w:val="22"/>
          <w:lang w:eastAsia="ja-JP"/>
        </w:rPr>
        <w:t xml:space="preserve">provide </w:t>
      </w:r>
      <w:r w:rsidR="00543AA4" w:rsidRPr="00065331">
        <w:rPr>
          <w:rFonts w:eastAsia="ＭＳ 明朝"/>
          <w:szCs w:val="22"/>
          <w:lang w:eastAsia="ja-JP"/>
        </w:rPr>
        <w:t>the</w:t>
      </w:r>
      <w:r w:rsidRPr="00065331">
        <w:rPr>
          <w:rFonts w:eastAsia="ＭＳ 明朝"/>
          <w:szCs w:val="22"/>
          <w:lang w:eastAsia="ja-JP"/>
        </w:rPr>
        <w:t xml:space="preserve"> safe management of residues, including radioactive waste generated by remedial actions, in accordance with the overall national policy and national strategy for protection</w:t>
      </w:r>
      <w:r>
        <w:rPr>
          <w:rFonts w:eastAsia="ＭＳ 明朝"/>
          <w:szCs w:val="22"/>
          <w:lang w:eastAsia="ja-JP"/>
        </w:rPr>
        <w:t>.</w:t>
      </w:r>
      <w:r w:rsidR="00BE210F" w:rsidRPr="00BE210F">
        <w:rPr>
          <w:rFonts w:eastAsia="ＭＳ 明朝"/>
          <w:szCs w:val="22"/>
          <w:lang w:eastAsia="ja-JP"/>
        </w:rPr>
        <w:t xml:space="preserve"> </w:t>
      </w:r>
      <w:r w:rsidR="00BE210F" w:rsidRPr="008828DE">
        <w:rPr>
          <w:rFonts w:eastAsia="ＭＳ 明朝"/>
          <w:szCs w:val="22"/>
          <w:lang w:eastAsia="ja-JP"/>
        </w:rPr>
        <w:t>Waste management needs to be considered alongside the selection of the protection strategy and underlying remedial actions</w:t>
      </w:r>
      <w:r w:rsidR="007564AC">
        <w:rPr>
          <w:rFonts w:eastAsia="ＭＳ 明朝"/>
          <w:szCs w:val="22"/>
          <w:lang w:eastAsia="ja-JP"/>
        </w:rPr>
        <w:t>.</w:t>
      </w:r>
    </w:p>
    <w:p w14:paraId="2E6C2A14" w14:textId="6739EF82" w:rsidR="008828DE" w:rsidRPr="008828DE" w:rsidRDefault="008828DE" w:rsidP="008828DE">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lastRenderedPageBreak/>
        <w:t>Selection of reference levels may strong</w:t>
      </w:r>
      <w:r w:rsidR="00B343EA">
        <w:rPr>
          <w:rFonts w:eastAsia="ＭＳ 明朝"/>
          <w:szCs w:val="22"/>
          <w:lang w:eastAsia="ja-JP"/>
        </w:rPr>
        <w:t>ly</w:t>
      </w:r>
      <w:r w:rsidRPr="008828DE">
        <w:rPr>
          <w:rFonts w:eastAsia="ＭＳ 明朝"/>
          <w:szCs w:val="22"/>
          <w:lang w:eastAsia="ja-JP"/>
        </w:rPr>
        <w:t xml:space="preserve"> influence the amount of waste generated during remediation. </w:t>
      </w:r>
      <w:r w:rsidR="000F470E">
        <w:rPr>
          <w:rFonts w:eastAsia="ＭＳ 明朝"/>
          <w:szCs w:val="22"/>
          <w:lang w:eastAsia="ja-JP"/>
        </w:rPr>
        <w:t>Generally</w:t>
      </w:r>
      <w:r w:rsidRPr="008828DE">
        <w:rPr>
          <w:rFonts w:eastAsia="ＭＳ 明朝"/>
          <w:szCs w:val="22"/>
          <w:lang w:eastAsia="ja-JP"/>
        </w:rPr>
        <w:t xml:space="preserve">, the lower the reference level, the higher the volume of waste generated. Waste generation (and its management) </w:t>
      </w:r>
      <w:r w:rsidR="004E6928">
        <w:rPr>
          <w:rFonts w:eastAsia="ＭＳ 明朝"/>
          <w:szCs w:val="22"/>
          <w:lang w:eastAsia="ja-JP"/>
        </w:rPr>
        <w:t>should</w:t>
      </w:r>
      <w:r w:rsidRPr="008828DE">
        <w:rPr>
          <w:rFonts w:eastAsia="ＭＳ 明朝"/>
          <w:szCs w:val="22"/>
          <w:lang w:eastAsia="ja-JP"/>
        </w:rPr>
        <w:t xml:space="preserve"> be considered in the selection of the reference level.</w:t>
      </w:r>
    </w:p>
    <w:p w14:paraId="06970B73" w14:textId="163F44D4" w:rsidR="008828DE" w:rsidRPr="008828DE" w:rsidRDefault="008828DE" w:rsidP="00C86AB3">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 xml:space="preserve">The generation of radioactive waste during remediation should be reduced to the extent practicable, especially when no disposal route is available. Options that generate smaller amounts of waste should be favoured where possible, bearing in mind that although </w:t>
      </w:r>
      <w:r w:rsidR="00592267">
        <w:rPr>
          <w:rFonts w:eastAsia="ＭＳ 明朝"/>
          <w:szCs w:val="22"/>
          <w:lang w:eastAsia="ja-JP"/>
        </w:rPr>
        <w:t>management</w:t>
      </w:r>
      <w:r w:rsidRPr="008828DE">
        <w:rPr>
          <w:rFonts w:eastAsia="ＭＳ 明朝"/>
          <w:szCs w:val="22"/>
          <w:lang w:eastAsia="ja-JP"/>
        </w:rPr>
        <w:t xml:space="preserve"> of waste generation is an important factor in the remediation process, the overall objective is to optimise radiation </w:t>
      </w:r>
      <w:proofErr w:type="gramStart"/>
      <w:r w:rsidRPr="008828DE">
        <w:rPr>
          <w:rFonts w:eastAsia="ＭＳ 明朝"/>
          <w:szCs w:val="22"/>
          <w:lang w:eastAsia="ja-JP"/>
        </w:rPr>
        <w:t>protection as a whole</w:t>
      </w:r>
      <w:proofErr w:type="gramEnd"/>
      <w:r w:rsidRPr="008828DE">
        <w:rPr>
          <w:rFonts w:eastAsia="ＭＳ 明朝"/>
          <w:szCs w:val="22"/>
          <w:lang w:eastAsia="ja-JP"/>
        </w:rPr>
        <w:t xml:space="preserve">. Therefore, in reaching decisions on waste minimisation, consideration should be given to the knock-on effects such as the availability of infrastructure to safely store waste until it can be disposed of, the implications for waste releases to the environment, the doses to workers during waste reduction activities, and so on. </w:t>
      </w:r>
      <w:r w:rsidR="00003E02">
        <w:rPr>
          <w:rFonts w:eastAsia="ＭＳ 明朝"/>
          <w:szCs w:val="22"/>
          <w:lang w:eastAsia="ja-JP"/>
        </w:rPr>
        <w:t>Moreover, w</w:t>
      </w:r>
      <w:r w:rsidR="00A11C3A" w:rsidRPr="00A11C3A">
        <w:rPr>
          <w:rFonts w:eastAsia="ＭＳ 明朝"/>
          <w:szCs w:val="22"/>
          <w:lang w:eastAsia="ja-JP"/>
        </w:rPr>
        <w:t>aste can also be cleared from further regulatory control if it me</w:t>
      </w:r>
      <w:r w:rsidR="00003E02">
        <w:rPr>
          <w:rFonts w:eastAsia="ＭＳ 明朝"/>
          <w:szCs w:val="22"/>
          <w:lang w:eastAsia="ja-JP"/>
        </w:rPr>
        <w:t>ets approved clearance criteria</w:t>
      </w:r>
      <w:r w:rsidR="00F73EE5">
        <w:rPr>
          <w:rFonts w:eastAsia="ＭＳ 明朝"/>
          <w:szCs w:val="22"/>
          <w:lang w:eastAsia="ja-JP"/>
        </w:rPr>
        <w:t xml:space="preserve">. </w:t>
      </w:r>
      <w:r w:rsidR="008C6FA8">
        <w:rPr>
          <w:rFonts w:eastAsia="ＭＳ 明朝"/>
          <w:szCs w:val="22"/>
          <w:lang w:eastAsia="ja-JP"/>
        </w:rPr>
        <w:t>T</w:t>
      </w:r>
      <w:r w:rsidR="00EB2BD9" w:rsidRPr="00A11C3A">
        <w:rPr>
          <w:rFonts w:eastAsia="ＭＳ 明朝"/>
          <w:szCs w:val="22"/>
          <w:lang w:eastAsia="ja-JP"/>
        </w:rPr>
        <w:t>he</w:t>
      </w:r>
      <w:r w:rsidR="00003E02" w:rsidRPr="008828DE">
        <w:rPr>
          <w:rFonts w:eastAsia="ＭＳ 明朝"/>
          <w:szCs w:val="22"/>
          <w:lang w:eastAsia="ja-JP"/>
        </w:rPr>
        <w:t xml:space="preserve"> reuse or recycling of r</w:t>
      </w:r>
      <w:r w:rsidR="00003E02">
        <w:rPr>
          <w:rFonts w:eastAsia="ＭＳ 明朝"/>
          <w:szCs w:val="22"/>
          <w:lang w:eastAsia="ja-JP"/>
        </w:rPr>
        <w:t xml:space="preserve">esidual materials </w:t>
      </w:r>
      <w:r w:rsidR="0069298B">
        <w:rPr>
          <w:rFonts w:eastAsia="ＭＳ 明朝"/>
          <w:szCs w:val="22"/>
          <w:lang w:eastAsia="ja-JP"/>
        </w:rPr>
        <w:t xml:space="preserve">may </w:t>
      </w:r>
      <w:r w:rsidR="007956A9">
        <w:rPr>
          <w:rFonts w:eastAsia="ＭＳ 明朝"/>
          <w:szCs w:val="22"/>
          <w:lang w:eastAsia="ja-JP"/>
        </w:rPr>
        <w:t>also</w:t>
      </w:r>
      <w:r w:rsidR="00003E02">
        <w:rPr>
          <w:rFonts w:eastAsia="ＭＳ 明朝"/>
          <w:szCs w:val="22"/>
          <w:lang w:eastAsia="ja-JP"/>
        </w:rPr>
        <w:t xml:space="preserve"> </w:t>
      </w:r>
      <w:r w:rsidR="00EB2BD9">
        <w:rPr>
          <w:rFonts w:eastAsia="ＭＳ 明朝"/>
          <w:szCs w:val="22"/>
          <w:lang w:eastAsia="ja-JP"/>
        </w:rPr>
        <w:t xml:space="preserve">be </w:t>
      </w:r>
      <w:r w:rsidR="00EB2BD9" w:rsidRPr="008828DE">
        <w:rPr>
          <w:rFonts w:eastAsia="ＭＳ 明朝"/>
          <w:szCs w:val="22"/>
          <w:lang w:eastAsia="ja-JP"/>
        </w:rPr>
        <w:t>considered</w:t>
      </w:r>
      <w:r w:rsidR="00003E02" w:rsidRPr="008828DE">
        <w:rPr>
          <w:rFonts w:eastAsia="ＭＳ 明朝"/>
          <w:szCs w:val="22"/>
          <w:lang w:eastAsia="ja-JP"/>
        </w:rPr>
        <w:t xml:space="preserve"> during the development of the remedial action plan</w:t>
      </w:r>
      <w:r w:rsidR="007564AC">
        <w:rPr>
          <w:rFonts w:eastAsia="ＭＳ 明朝"/>
          <w:szCs w:val="22"/>
          <w:lang w:eastAsia="ja-JP"/>
        </w:rPr>
        <w:t>.</w:t>
      </w:r>
      <w:r w:rsidR="00003E02" w:rsidRPr="00A11C3A">
        <w:rPr>
          <w:rFonts w:eastAsia="ＭＳ 明朝"/>
          <w:szCs w:val="22"/>
          <w:lang w:eastAsia="ja-JP"/>
        </w:rPr>
        <w:t xml:space="preserve"> </w:t>
      </w:r>
      <w:r w:rsidR="00A11C3A" w:rsidRPr="00A11C3A">
        <w:rPr>
          <w:rFonts w:eastAsia="ＭＳ 明朝"/>
          <w:szCs w:val="22"/>
          <w:lang w:eastAsia="ja-JP"/>
        </w:rPr>
        <w:t xml:space="preserve">A sustainable approach for the management of residues and waste should be applied when </w:t>
      </w:r>
      <w:proofErr w:type="gramStart"/>
      <w:r w:rsidR="00A11C3A" w:rsidRPr="00A11C3A">
        <w:rPr>
          <w:rFonts w:eastAsia="ＭＳ 明朝"/>
          <w:szCs w:val="22"/>
          <w:lang w:eastAsia="ja-JP"/>
        </w:rPr>
        <w:t>possible</w:t>
      </w:r>
      <w:proofErr w:type="gramEnd"/>
      <w:r w:rsidR="00A11C3A" w:rsidRPr="00A11C3A">
        <w:rPr>
          <w:rFonts w:eastAsia="ＭＳ 明朝"/>
          <w:szCs w:val="22"/>
          <w:lang w:eastAsia="ja-JP"/>
        </w:rPr>
        <w:t xml:space="preserve"> implementing reuse, recovery</w:t>
      </w:r>
      <w:r w:rsidR="008C6FA8">
        <w:rPr>
          <w:rFonts w:eastAsia="ＭＳ 明朝"/>
          <w:szCs w:val="22"/>
          <w:lang w:eastAsia="ja-JP"/>
        </w:rPr>
        <w:t>,</w:t>
      </w:r>
      <w:r w:rsidR="00A11C3A" w:rsidRPr="00A11C3A">
        <w:rPr>
          <w:rFonts w:eastAsia="ＭＳ 明朝"/>
          <w:szCs w:val="22"/>
          <w:lang w:eastAsia="ja-JP"/>
        </w:rPr>
        <w:t xml:space="preserve"> and recycling of waste residues into other useful products</w:t>
      </w:r>
      <w:r w:rsidR="0069298B">
        <w:rPr>
          <w:rFonts w:eastAsia="ＭＳ 明朝"/>
          <w:szCs w:val="22"/>
          <w:lang w:eastAsia="ja-JP"/>
        </w:rPr>
        <w:t>,</w:t>
      </w:r>
      <w:r w:rsidR="007101C7">
        <w:rPr>
          <w:rFonts w:eastAsia="ＭＳ 明朝"/>
          <w:szCs w:val="22"/>
          <w:lang w:eastAsia="ja-JP"/>
        </w:rPr>
        <w:t xml:space="preserve"> in an effort to move from </w:t>
      </w:r>
      <w:r w:rsidR="00A11C3A" w:rsidRPr="00A11C3A">
        <w:rPr>
          <w:rFonts w:eastAsia="ＭＳ 明朝"/>
          <w:szCs w:val="22"/>
          <w:lang w:eastAsia="ja-JP"/>
        </w:rPr>
        <w:t>a linear to a circular economy.</w:t>
      </w:r>
      <w:r w:rsidR="00465388">
        <w:rPr>
          <w:rFonts w:eastAsia="ＭＳ 明朝"/>
          <w:szCs w:val="22"/>
          <w:lang w:eastAsia="ja-JP"/>
        </w:rPr>
        <w:t xml:space="preserve"> This should be</w:t>
      </w:r>
      <w:r w:rsidR="00465388" w:rsidRPr="00465388">
        <w:rPr>
          <w:rFonts w:eastAsia="ＭＳ 明朝"/>
          <w:szCs w:val="22"/>
          <w:lang w:eastAsia="ja-JP"/>
        </w:rPr>
        <w:t xml:space="preserve"> considered when there is a </w:t>
      </w:r>
      <w:r w:rsidR="007564AC">
        <w:rPr>
          <w:rFonts w:eastAsia="ＭＳ 明朝"/>
          <w:szCs w:val="22"/>
          <w:lang w:eastAsia="ja-JP"/>
        </w:rPr>
        <w:t>net</w:t>
      </w:r>
      <w:r w:rsidR="007564AC" w:rsidRPr="00465388">
        <w:rPr>
          <w:rFonts w:eastAsia="ＭＳ 明朝"/>
          <w:szCs w:val="22"/>
          <w:lang w:eastAsia="ja-JP"/>
        </w:rPr>
        <w:t xml:space="preserve"> </w:t>
      </w:r>
      <w:r w:rsidR="00465388" w:rsidRPr="00465388">
        <w:rPr>
          <w:rFonts w:eastAsia="ＭＳ 明朝"/>
          <w:szCs w:val="22"/>
          <w:lang w:eastAsia="ja-JP"/>
        </w:rPr>
        <w:t>benefit in enabling residual materials to be safely recycled or reused and when it is done within the context of optim</w:t>
      </w:r>
      <w:r w:rsidR="002D67F8">
        <w:rPr>
          <w:rFonts w:eastAsia="ＭＳ 明朝"/>
          <w:szCs w:val="22"/>
          <w:lang w:eastAsia="ja-JP"/>
        </w:rPr>
        <w:t>is</w:t>
      </w:r>
      <w:r w:rsidR="001115D7">
        <w:rPr>
          <w:rFonts w:eastAsia="ＭＳ 明朝"/>
          <w:szCs w:val="22"/>
          <w:lang w:eastAsia="ja-JP"/>
        </w:rPr>
        <w:t>ing</w:t>
      </w:r>
      <w:r w:rsidR="00465388" w:rsidRPr="00465388">
        <w:rPr>
          <w:rFonts w:eastAsia="ＭＳ 明朝"/>
          <w:szCs w:val="22"/>
          <w:lang w:eastAsia="ja-JP"/>
        </w:rPr>
        <w:t xml:space="preserve"> protection and safety</w:t>
      </w:r>
      <w:r w:rsidR="007564AC">
        <w:rPr>
          <w:rFonts w:eastAsia="ＭＳ 明朝"/>
          <w:szCs w:val="22"/>
          <w:lang w:eastAsia="ja-JP"/>
        </w:rPr>
        <w:t>.</w:t>
      </w:r>
    </w:p>
    <w:p w14:paraId="6B9EE782" w14:textId="05C40A35" w:rsidR="008828DE" w:rsidRPr="00850733" w:rsidRDefault="008828DE" w:rsidP="00754334">
      <w:pPr>
        <w:numPr>
          <w:ilvl w:val="0"/>
          <w:numId w:val="13"/>
        </w:numPr>
        <w:tabs>
          <w:tab w:val="num" w:pos="634"/>
          <w:tab w:val="left" w:pos="851"/>
        </w:tabs>
        <w:ind w:left="0"/>
        <w:jc w:val="both"/>
        <w:rPr>
          <w:rFonts w:eastAsia="ＭＳ 明朝"/>
          <w:szCs w:val="22"/>
          <w:lang w:eastAsia="ja-JP"/>
        </w:rPr>
      </w:pPr>
      <w:r w:rsidRPr="00850733">
        <w:rPr>
          <w:rFonts w:eastAsia="ＭＳ 明朝"/>
          <w:szCs w:val="22"/>
          <w:lang w:eastAsia="ja-JP"/>
        </w:rPr>
        <w:t xml:space="preserve">Waste should be characterised to determine the </w:t>
      </w:r>
      <w:r w:rsidR="001C4D15">
        <w:rPr>
          <w:rFonts w:eastAsia="ＭＳ 明朝"/>
          <w:szCs w:val="22"/>
          <w:lang w:eastAsia="ja-JP"/>
        </w:rPr>
        <w:t>appropriate</w:t>
      </w:r>
      <w:r w:rsidRPr="00850733">
        <w:rPr>
          <w:rFonts w:eastAsia="ＭＳ 明朝"/>
          <w:szCs w:val="22"/>
          <w:lang w:eastAsia="ja-JP"/>
        </w:rPr>
        <w:t xml:space="preserve"> transport, processing, </w:t>
      </w:r>
      <w:proofErr w:type="gramStart"/>
      <w:r w:rsidRPr="00850733">
        <w:rPr>
          <w:rFonts w:eastAsia="ＭＳ 明朝"/>
          <w:szCs w:val="22"/>
          <w:lang w:eastAsia="ja-JP"/>
        </w:rPr>
        <w:t>storage</w:t>
      </w:r>
      <w:proofErr w:type="gramEnd"/>
      <w:r w:rsidRPr="00850733">
        <w:rPr>
          <w:rFonts w:eastAsia="ＭＳ 明朝"/>
          <w:szCs w:val="22"/>
          <w:lang w:eastAsia="ja-JP"/>
        </w:rPr>
        <w:t xml:space="preserve"> and disposal</w:t>
      </w:r>
      <w:r w:rsidR="001C4D15">
        <w:rPr>
          <w:rFonts w:eastAsia="ＭＳ 明朝"/>
          <w:szCs w:val="22"/>
          <w:lang w:eastAsia="ja-JP"/>
        </w:rPr>
        <w:t xml:space="preserve"> methods</w:t>
      </w:r>
      <w:r w:rsidRPr="00850733">
        <w:rPr>
          <w:rFonts w:eastAsia="ＭＳ 明朝"/>
          <w:szCs w:val="22"/>
          <w:lang w:eastAsia="ja-JP"/>
        </w:rPr>
        <w:t>. Character</w:t>
      </w:r>
      <w:r w:rsidR="002D67F8" w:rsidRPr="00850733">
        <w:rPr>
          <w:rFonts w:eastAsia="ＭＳ 明朝"/>
          <w:szCs w:val="22"/>
          <w:lang w:eastAsia="ja-JP"/>
        </w:rPr>
        <w:t>is</w:t>
      </w:r>
      <w:r w:rsidRPr="00850733">
        <w:rPr>
          <w:rFonts w:eastAsia="ＭＳ 明朝"/>
          <w:szCs w:val="22"/>
          <w:lang w:eastAsia="ja-JP"/>
        </w:rPr>
        <w:t xml:space="preserve">ation is important for verification and compliance with national legal and regulatory requirements. </w:t>
      </w:r>
      <w:r w:rsidR="001C65EF" w:rsidRPr="00E62E0A">
        <w:rPr>
          <w:rFonts w:eastAsia="ＭＳ 明朝"/>
          <w:szCs w:val="22"/>
          <w:lang w:eastAsia="ja-JP"/>
        </w:rPr>
        <w:t>The principal characteristics of waste that influence its management are volume, chemical a</w:t>
      </w:r>
      <w:r w:rsidR="001C65EF" w:rsidRPr="00850733">
        <w:rPr>
          <w:rFonts w:eastAsia="ＭＳ 明朝"/>
          <w:szCs w:val="22"/>
          <w:lang w:eastAsia="ja-JP"/>
        </w:rPr>
        <w:t xml:space="preserve">nd physical form, and radionuclide content. A variety of management and disposal options may be appropriate, depending on the characteristics of the waste. </w:t>
      </w:r>
      <w:r w:rsidR="004A419B" w:rsidRPr="00850733">
        <w:rPr>
          <w:rFonts w:eastAsia="ＭＳ 明朝"/>
          <w:szCs w:val="22"/>
          <w:lang w:eastAsia="ja-JP"/>
        </w:rPr>
        <w:t xml:space="preserve">For </w:t>
      </w:r>
      <w:r w:rsidR="00850733" w:rsidRPr="00850733">
        <w:rPr>
          <w:rFonts w:eastAsia="ＭＳ 明朝"/>
          <w:szCs w:val="22"/>
          <w:lang w:eastAsia="ja-JP"/>
        </w:rPr>
        <w:t>example,</w:t>
      </w:r>
      <w:r w:rsidR="004A419B" w:rsidRPr="00850733">
        <w:rPr>
          <w:rFonts w:eastAsia="ＭＳ 明朝"/>
          <w:szCs w:val="22"/>
          <w:lang w:eastAsia="ja-JP"/>
        </w:rPr>
        <w:t xml:space="preserve"> in areas involving NORM wastes</w:t>
      </w:r>
      <w:r w:rsidR="004A419B" w:rsidRPr="00E3757B">
        <w:rPr>
          <w:rFonts w:eastAsia="ＭＳ 明朝"/>
          <w:szCs w:val="22"/>
          <w:lang w:eastAsia="ja-JP"/>
        </w:rPr>
        <w:t xml:space="preserve"> that </w:t>
      </w:r>
      <w:r w:rsidR="004A419B" w:rsidRPr="0083236A">
        <w:rPr>
          <w:rFonts w:eastAsia="ＭＳ 明朝"/>
          <w:szCs w:val="22"/>
          <w:lang w:eastAsia="ja-JP"/>
        </w:rPr>
        <w:t xml:space="preserve">can have </w:t>
      </w:r>
      <w:r w:rsidR="004A419B" w:rsidRPr="00EB5D60">
        <w:rPr>
          <w:rFonts w:eastAsia="ＭＳ 明朝"/>
          <w:szCs w:val="22"/>
          <w:lang w:eastAsia="ja-JP"/>
        </w:rPr>
        <w:t>large volumes with low concentrations of</w:t>
      </w:r>
      <w:r w:rsidR="004A419B" w:rsidRPr="00850733">
        <w:rPr>
          <w:rFonts w:eastAsia="ＭＳ 明朝"/>
          <w:szCs w:val="22"/>
          <w:lang w:eastAsia="ja-JP"/>
        </w:rPr>
        <w:t xml:space="preserve"> radionuclides</w:t>
      </w:r>
      <w:r w:rsidR="00F90E5A">
        <w:rPr>
          <w:rFonts w:eastAsia="ＭＳ 明朝"/>
          <w:szCs w:val="22"/>
          <w:lang w:eastAsia="ja-JP"/>
        </w:rPr>
        <w:t xml:space="preserve"> or small volumes with high concertation of radionuclides</w:t>
      </w:r>
      <w:r w:rsidR="004A419B" w:rsidRPr="00F90E5A">
        <w:rPr>
          <w:rFonts w:eastAsia="ＭＳ 明朝"/>
          <w:szCs w:val="22"/>
          <w:lang w:eastAsia="ja-JP"/>
        </w:rPr>
        <w:t xml:space="preserve">, </w:t>
      </w:r>
      <w:r w:rsidR="00E62E0A" w:rsidRPr="00F90E5A">
        <w:rPr>
          <w:rFonts w:eastAsia="ＭＳ 明朝"/>
          <w:szCs w:val="22"/>
          <w:lang w:eastAsia="ja-JP"/>
        </w:rPr>
        <w:t xml:space="preserve">the </w:t>
      </w:r>
      <w:r w:rsidR="00E62E0A">
        <w:rPr>
          <w:rFonts w:eastAsia="ＭＳ 明朝"/>
          <w:szCs w:val="22"/>
          <w:lang w:eastAsia="ja-JP"/>
        </w:rPr>
        <w:t>method</w:t>
      </w:r>
      <w:r w:rsidR="004A419B" w:rsidRPr="00F90E5A">
        <w:rPr>
          <w:rFonts w:eastAsia="ＭＳ 明朝"/>
          <w:szCs w:val="22"/>
          <w:lang w:eastAsia="ja-JP"/>
        </w:rPr>
        <w:t xml:space="preserve"> of disposal of wastes should be proportionate to the type and level of hazard, </w:t>
      </w:r>
      <w:proofErr w:type="gramStart"/>
      <w:r w:rsidR="004A419B" w:rsidRPr="00F90E5A">
        <w:rPr>
          <w:rFonts w:eastAsia="ＭＳ 明朝"/>
          <w:szCs w:val="22"/>
          <w:lang w:eastAsia="ja-JP"/>
        </w:rPr>
        <w:t>taking into account</w:t>
      </w:r>
      <w:proofErr w:type="gramEnd"/>
      <w:r w:rsidR="004A419B" w:rsidRPr="00F90E5A">
        <w:rPr>
          <w:rFonts w:eastAsia="ＭＳ 明朝"/>
          <w:szCs w:val="22"/>
          <w:lang w:eastAsia="ja-JP"/>
        </w:rPr>
        <w:t xml:space="preserve"> all types of pollutants.</w:t>
      </w:r>
      <w:r w:rsidR="00850733" w:rsidRPr="00850733">
        <w:t xml:space="preserve"> </w:t>
      </w:r>
      <w:r w:rsidR="00850733" w:rsidRPr="00850733">
        <w:rPr>
          <w:rFonts w:eastAsia="ＭＳ 明朝"/>
          <w:szCs w:val="22"/>
          <w:lang w:eastAsia="ja-JP"/>
        </w:rPr>
        <w:t>Some wastes could be treated as industrial or hazardous wastes and disposed of accordingly in near-surface landfills</w:t>
      </w:r>
      <w:r w:rsidR="00850733">
        <w:rPr>
          <w:rFonts w:eastAsia="ＭＳ 明朝"/>
          <w:szCs w:val="22"/>
          <w:lang w:eastAsia="ja-JP"/>
        </w:rPr>
        <w:t xml:space="preserve"> (ICRP, 2019). </w:t>
      </w:r>
      <w:r w:rsidR="00E62E0A">
        <w:rPr>
          <w:rFonts w:eastAsia="ＭＳ 明朝"/>
          <w:szCs w:val="22"/>
          <w:lang w:eastAsia="ja-JP"/>
        </w:rPr>
        <w:t>T</w:t>
      </w:r>
      <w:r w:rsidR="00E62E0A" w:rsidRPr="00E62E0A">
        <w:rPr>
          <w:rFonts w:eastAsia="ＭＳ 明朝"/>
          <w:szCs w:val="22"/>
          <w:lang w:eastAsia="ja-JP"/>
        </w:rPr>
        <w:t>ailings represent a challenge in terms of long</w:t>
      </w:r>
      <w:r w:rsidR="00F60780">
        <w:rPr>
          <w:rFonts w:eastAsia="ＭＳ 明朝"/>
          <w:szCs w:val="22"/>
          <w:lang w:eastAsia="ja-JP"/>
        </w:rPr>
        <w:t>-</w:t>
      </w:r>
      <w:r w:rsidR="00E62E0A" w:rsidRPr="00E62E0A">
        <w:rPr>
          <w:rFonts w:eastAsia="ＭＳ 明朝"/>
          <w:szCs w:val="22"/>
          <w:lang w:eastAsia="ja-JP"/>
        </w:rPr>
        <w:t>term management because of the large volumes generated</w:t>
      </w:r>
      <w:r w:rsidR="002A2725">
        <w:rPr>
          <w:rFonts w:eastAsia="ＭＳ 明朝"/>
          <w:szCs w:val="22"/>
          <w:lang w:eastAsia="ja-JP"/>
        </w:rPr>
        <w:t xml:space="preserve"> and </w:t>
      </w:r>
      <w:r w:rsidR="00E62E0A" w:rsidRPr="00E62E0A">
        <w:rPr>
          <w:rFonts w:eastAsia="ＭＳ 明朝"/>
          <w:szCs w:val="22"/>
          <w:lang w:eastAsia="ja-JP"/>
        </w:rPr>
        <w:t>the presence of long</w:t>
      </w:r>
      <w:r w:rsidR="007C4819">
        <w:rPr>
          <w:rFonts w:eastAsia="ＭＳ 明朝"/>
          <w:szCs w:val="22"/>
          <w:lang w:eastAsia="ja-JP"/>
        </w:rPr>
        <w:t>-</w:t>
      </w:r>
      <w:r w:rsidR="00E62E0A" w:rsidRPr="00E62E0A">
        <w:rPr>
          <w:rFonts w:eastAsia="ＭＳ 明朝"/>
          <w:szCs w:val="22"/>
          <w:lang w:eastAsia="ja-JP"/>
        </w:rPr>
        <w:t xml:space="preserve"> lived radionuclides, heavy metals</w:t>
      </w:r>
      <w:r w:rsidR="005A466B">
        <w:rPr>
          <w:rFonts w:eastAsia="ＭＳ 明朝"/>
          <w:szCs w:val="22"/>
          <w:lang w:eastAsia="ja-JP"/>
        </w:rPr>
        <w:t>,</w:t>
      </w:r>
      <w:r w:rsidR="00E62E0A" w:rsidRPr="00E62E0A">
        <w:rPr>
          <w:rFonts w:eastAsia="ＭＳ 明朝"/>
          <w:szCs w:val="22"/>
          <w:lang w:eastAsia="ja-JP"/>
        </w:rPr>
        <w:t xml:space="preserve"> and chemical hazards</w:t>
      </w:r>
      <w:r w:rsidR="00E62E0A">
        <w:rPr>
          <w:rFonts w:eastAsia="ＭＳ 明朝"/>
          <w:szCs w:val="22"/>
          <w:lang w:eastAsia="ja-JP"/>
        </w:rPr>
        <w:t xml:space="preserve">. </w:t>
      </w:r>
      <w:r w:rsidR="00E62E0A" w:rsidRPr="00E62E0A">
        <w:rPr>
          <w:rFonts w:eastAsia="ＭＳ 明朝"/>
          <w:szCs w:val="22"/>
          <w:lang w:eastAsia="ja-JP"/>
        </w:rPr>
        <w:t>Relocating tailings to a more favourable site would not normally be the optimum residue management strategy because of the large volumes of waste involved. The decision on which approach to take should be optimi</w:t>
      </w:r>
      <w:r w:rsidR="00EF1C32">
        <w:rPr>
          <w:rFonts w:eastAsia="ＭＳ 明朝"/>
          <w:szCs w:val="22"/>
          <w:lang w:eastAsia="ja-JP"/>
        </w:rPr>
        <w:t>s</w:t>
      </w:r>
      <w:r w:rsidR="00E62E0A" w:rsidRPr="00E62E0A">
        <w:rPr>
          <w:rFonts w:eastAsia="ＭＳ 明朝"/>
          <w:szCs w:val="22"/>
          <w:lang w:eastAsia="ja-JP"/>
        </w:rPr>
        <w:t xml:space="preserve">ed </w:t>
      </w:r>
      <w:proofErr w:type="gramStart"/>
      <w:r w:rsidR="00E62E0A" w:rsidRPr="00E62E0A">
        <w:rPr>
          <w:rFonts w:eastAsia="ＭＳ 明朝"/>
          <w:szCs w:val="22"/>
          <w:lang w:eastAsia="ja-JP"/>
        </w:rPr>
        <w:t>so as to</w:t>
      </w:r>
      <w:proofErr w:type="gramEnd"/>
      <w:r w:rsidR="00E62E0A" w:rsidRPr="00E62E0A">
        <w:rPr>
          <w:rFonts w:eastAsia="ＭＳ 明朝"/>
          <w:szCs w:val="22"/>
          <w:lang w:eastAsia="ja-JP"/>
        </w:rPr>
        <w:t xml:space="preserve"> match barrier characteristics with available site conditions </w:t>
      </w:r>
      <w:r w:rsidR="00E62E0A">
        <w:rPr>
          <w:rFonts w:eastAsia="ＭＳ 明朝"/>
          <w:szCs w:val="22"/>
          <w:lang w:eastAsia="ja-JP"/>
        </w:rPr>
        <w:t xml:space="preserve">(IAEA, 2021). </w:t>
      </w:r>
      <w:r w:rsidRPr="00850733">
        <w:rPr>
          <w:rFonts w:eastAsia="ＭＳ 明朝"/>
          <w:szCs w:val="22"/>
          <w:lang w:eastAsia="ja-JP"/>
        </w:rPr>
        <w:t>The characterisation challenges and methods are discussed in the light of a range of case studies and other experience</w:t>
      </w:r>
      <w:r w:rsidR="005E496E">
        <w:rPr>
          <w:rFonts w:eastAsia="ＭＳ 明朝"/>
          <w:szCs w:val="22"/>
          <w:lang w:eastAsia="ja-JP"/>
        </w:rPr>
        <w:t>s</w:t>
      </w:r>
      <w:r w:rsidRPr="00850733">
        <w:rPr>
          <w:rFonts w:eastAsia="ＭＳ 明朝"/>
          <w:szCs w:val="22"/>
          <w:lang w:eastAsia="ja-JP"/>
        </w:rPr>
        <w:t xml:space="preserve"> in NEA (2021</w:t>
      </w:r>
      <w:r w:rsidR="00D440B8" w:rsidRPr="00850733">
        <w:rPr>
          <w:rFonts w:eastAsia="ＭＳ 明朝"/>
          <w:szCs w:val="22"/>
          <w:lang w:eastAsia="ja-JP"/>
        </w:rPr>
        <w:t>).</w:t>
      </w:r>
      <w:r w:rsidRPr="00850733">
        <w:rPr>
          <w:rFonts w:eastAsia="ＭＳ 明朝"/>
          <w:szCs w:val="22"/>
          <w:lang w:eastAsia="ja-JP"/>
        </w:rPr>
        <w:t xml:space="preserve"> </w:t>
      </w:r>
    </w:p>
    <w:p w14:paraId="4A2450ED" w14:textId="36178EC9" w:rsidR="008828DE" w:rsidRPr="008828DE" w:rsidRDefault="008828DE" w:rsidP="00C86AB3">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When a specific type of residual material cannot be cleared, recycled</w:t>
      </w:r>
      <w:r w:rsidR="00FE1177">
        <w:rPr>
          <w:rFonts w:eastAsia="ＭＳ 明朝"/>
          <w:szCs w:val="22"/>
          <w:lang w:eastAsia="ja-JP"/>
        </w:rPr>
        <w:t>,</w:t>
      </w:r>
      <w:r w:rsidRPr="008828DE">
        <w:rPr>
          <w:rFonts w:eastAsia="ＭＳ 明朝"/>
          <w:szCs w:val="22"/>
          <w:lang w:eastAsia="ja-JP"/>
        </w:rPr>
        <w:t xml:space="preserve"> or reused, it is designated as radioactive waste. Its management should follow the national policy</w:t>
      </w:r>
      <w:r w:rsidR="00FD0E34">
        <w:rPr>
          <w:rFonts w:eastAsia="ＭＳ 明朝"/>
          <w:szCs w:val="22"/>
          <w:lang w:eastAsia="ja-JP"/>
        </w:rPr>
        <w:t>,</w:t>
      </w:r>
      <w:r w:rsidRPr="008828DE">
        <w:rPr>
          <w:rFonts w:eastAsia="ＭＳ 明朝"/>
          <w:szCs w:val="22"/>
          <w:lang w:eastAsia="ja-JP"/>
        </w:rPr>
        <w:t xml:space="preserve"> strategy, and legal and regulatory framework for radioactive waste management. The Commission recommends that the protection of humans and the environment should be optimised in the management of radioactive waste, with an overall goal of ensuring the well-being of individuals and their quality of life while maintaining a healthy environment. Prudence is required to ensure the decisions taken do not unduly burden current or future generations regarding disposal, also </w:t>
      </w:r>
      <w:proofErr w:type="gramStart"/>
      <w:r w:rsidRPr="008828DE">
        <w:rPr>
          <w:rFonts w:eastAsia="ＭＳ 明朝"/>
          <w:szCs w:val="22"/>
          <w:lang w:eastAsia="ja-JP"/>
        </w:rPr>
        <w:t>taking into account</w:t>
      </w:r>
      <w:proofErr w:type="gramEnd"/>
      <w:r w:rsidRPr="008828DE">
        <w:rPr>
          <w:rFonts w:eastAsia="ＭＳ 明朝"/>
          <w:szCs w:val="22"/>
          <w:lang w:eastAsia="ja-JP"/>
        </w:rPr>
        <w:t xml:space="preserve"> predisposal and post-disposal operations and management</w:t>
      </w:r>
      <w:r w:rsidR="00356C04">
        <w:rPr>
          <w:rFonts w:eastAsia="ＭＳ 明朝"/>
          <w:szCs w:val="22"/>
          <w:lang w:eastAsia="ja-JP"/>
        </w:rPr>
        <w:t xml:space="preserve">. </w:t>
      </w:r>
      <w:r w:rsidR="00603F55" w:rsidRPr="00603F55">
        <w:rPr>
          <w:rFonts w:eastAsia="ＭＳ 明朝"/>
          <w:szCs w:val="22"/>
          <w:lang w:eastAsia="ja-JP"/>
        </w:rPr>
        <w:t xml:space="preserve">Balancing the many factors necessary to optimise the radiological protection of the </w:t>
      </w:r>
      <w:r w:rsidR="00603F55">
        <w:rPr>
          <w:rFonts w:eastAsia="ＭＳ 明朝"/>
          <w:szCs w:val="22"/>
          <w:lang w:eastAsia="ja-JP"/>
        </w:rPr>
        <w:t>facilities</w:t>
      </w:r>
      <w:r w:rsidR="00603F55" w:rsidRPr="00603F55">
        <w:rPr>
          <w:rFonts w:eastAsia="ＭＳ 明朝"/>
          <w:szCs w:val="22"/>
          <w:lang w:eastAsia="ja-JP"/>
        </w:rPr>
        <w:t xml:space="preserve"> will require prudent decisions to be made, sometimes with incomplete knowledge (e.g. the long-term environmental conditions, possible inadvertent human intrusion scenarios, etc.).</w:t>
      </w:r>
      <w:r w:rsidR="00603F55" w:rsidRPr="00356C04">
        <w:rPr>
          <w:rFonts w:eastAsia="ＭＳ 明朝"/>
          <w:szCs w:val="22"/>
          <w:lang w:eastAsia="ja-JP"/>
        </w:rPr>
        <w:t xml:space="preserve"> Cautious</w:t>
      </w:r>
      <w:r w:rsidR="00356C04" w:rsidRPr="00356C04">
        <w:rPr>
          <w:rFonts w:eastAsia="ＭＳ 明朝"/>
          <w:szCs w:val="22"/>
          <w:lang w:eastAsia="ja-JP"/>
        </w:rPr>
        <w:t xml:space="preserve"> but realistic assumptions should be made for the various categories of </w:t>
      </w:r>
      <w:r w:rsidR="00356C04" w:rsidRPr="00356C04">
        <w:rPr>
          <w:rFonts w:eastAsia="ＭＳ 明朝"/>
          <w:szCs w:val="22"/>
          <w:lang w:eastAsia="ja-JP"/>
        </w:rPr>
        <w:lastRenderedPageBreak/>
        <w:t xml:space="preserve">uncertainties to avoid underestimation of potential future radiological consequences </w:t>
      </w:r>
      <w:r w:rsidR="00356C04">
        <w:rPr>
          <w:rFonts w:eastAsia="ＭＳ 明朝"/>
          <w:szCs w:val="22"/>
          <w:lang w:eastAsia="ja-JP"/>
        </w:rPr>
        <w:t xml:space="preserve">of </w:t>
      </w:r>
      <w:r w:rsidR="00356C04" w:rsidRPr="00356C04">
        <w:rPr>
          <w:rFonts w:eastAsia="ＭＳ 明朝"/>
          <w:szCs w:val="22"/>
          <w:lang w:eastAsia="ja-JP"/>
        </w:rPr>
        <w:t>disposal facilit</w:t>
      </w:r>
      <w:r w:rsidR="00356C04">
        <w:rPr>
          <w:rFonts w:eastAsia="ＭＳ 明朝"/>
          <w:szCs w:val="22"/>
          <w:lang w:eastAsia="ja-JP"/>
        </w:rPr>
        <w:t>ies.</w:t>
      </w:r>
      <w:r w:rsidR="00356C04" w:rsidRPr="005E4BB7">
        <w:rPr>
          <w:rFonts w:eastAsia="ＭＳ 明朝"/>
          <w:szCs w:val="22"/>
          <w:lang w:eastAsia="ja-JP"/>
        </w:rPr>
        <w:t xml:space="preserve"> </w:t>
      </w:r>
      <w:r w:rsidR="007A15F0">
        <w:rPr>
          <w:rFonts w:eastAsia="ＭＳ 明朝"/>
          <w:szCs w:val="22"/>
          <w:lang w:eastAsia="ja-JP"/>
        </w:rPr>
        <w:t xml:space="preserve">Applying the </w:t>
      </w:r>
      <w:r w:rsidR="00356C04" w:rsidRPr="00356C04">
        <w:rPr>
          <w:rFonts w:eastAsia="ＭＳ 明朝"/>
          <w:szCs w:val="22"/>
          <w:lang w:eastAsia="ja-JP"/>
        </w:rPr>
        <w:t xml:space="preserve">ethical values of prudence and transparency </w:t>
      </w:r>
      <w:r w:rsidR="00D64D6A">
        <w:rPr>
          <w:rFonts w:eastAsia="ＭＳ 明朝"/>
          <w:szCs w:val="22"/>
          <w:lang w:eastAsia="ja-JP"/>
        </w:rPr>
        <w:t>is</w:t>
      </w:r>
      <w:r w:rsidR="00356C04" w:rsidRPr="00356C04">
        <w:rPr>
          <w:rFonts w:eastAsia="ＭＳ 明朝"/>
          <w:szCs w:val="22"/>
          <w:lang w:eastAsia="ja-JP"/>
        </w:rPr>
        <w:t xml:space="preserve"> important </w:t>
      </w:r>
      <w:r w:rsidR="00510C79">
        <w:rPr>
          <w:rFonts w:eastAsia="ＭＳ 明朝"/>
          <w:szCs w:val="22"/>
          <w:lang w:eastAsia="ja-JP"/>
        </w:rPr>
        <w:t xml:space="preserve">for </w:t>
      </w:r>
      <w:r w:rsidR="00356C04" w:rsidRPr="00356C04">
        <w:rPr>
          <w:rFonts w:eastAsia="ＭＳ 明朝"/>
          <w:szCs w:val="22"/>
          <w:lang w:eastAsia="ja-JP"/>
        </w:rPr>
        <w:t>ensuring confidence in the calculated outcomes</w:t>
      </w:r>
      <w:r w:rsidR="00356C04">
        <w:rPr>
          <w:rFonts w:eastAsia="ＭＳ 明朝"/>
          <w:szCs w:val="22"/>
          <w:lang w:eastAsia="ja-JP"/>
        </w:rPr>
        <w:t>.</w:t>
      </w:r>
    </w:p>
    <w:p w14:paraId="6E4160BF" w14:textId="1F0F6F5C" w:rsidR="008828DE" w:rsidRPr="008828DE" w:rsidRDefault="008828DE" w:rsidP="00C86AB3">
      <w:pPr>
        <w:numPr>
          <w:ilvl w:val="0"/>
          <w:numId w:val="13"/>
        </w:numPr>
        <w:tabs>
          <w:tab w:val="num" w:pos="634"/>
          <w:tab w:val="left" w:pos="851"/>
        </w:tabs>
        <w:ind w:left="0"/>
        <w:jc w:val="both"/>
        <w:rPr>
          <w:rFonts w:eastAsia="ＭＳ 明朝"/>
          <w:szCs w:val="22"/>
          <w:lang w:eastAsia="ja-JP"/>
        </w:rPr>
      </w:pPr>
      <w:r w:rsidRPr="008828DE">
        <w:rPr>
          <w:rFonts w:eastAsia="ＭＳ 明朝"/>
          <w:szCs w:val="22"/>
          <w:lang w:eastAsia="ja-JP"/>
        </w:rPr>
        <w:t>The involvement of stakeholders in decisions related to the management of waste generated through implement</w:t>
      </w:r>
      <w:r w:rsidR="00686085">
        <w:rPr>
          <w:rFonts w:eastAsia="ＭＳ 明朝"/>
          <w:szCs w:val="22"/>
          <w:lang w:eastAsia="ja-JP"/>
        </w:rPr>
        <w:t>ing</w:t>
      </w:r>
      <w:r w:rsidRPr="008828DE">
        <w:rPr>
          <w:rFonts w:eastAsia="ＭＳ 明朝"/>
          <w:szCs w:val="22"/>
          <w:lang w:eastAsia="ja-JP"/>
        </w:rPr>
        <w:t xml:space="preserve"> the remedial action plan is considered valuable in gaining acceptance of the remediation project.</w:t>
      </w:r>
      <w:r w:rsidR="008171BC">
        <w:rPr>
          <w:rFonts w:eastAsia="ＭＳ 明朝"/>
          <w:szCs w:val="22"/>
          <w:lang w:eastAsia="ja-JP"/>
        </w:rPr>
        <w:t xml:space="preserve"> </w:t>
      </w:r>
      <w:proofErr w:type="gramStart"/>
      <w:r w:rsidR="008171BC" w:rsidRPr="008171BC">
        <w:rPr>
          <w:rFonts w:eastAsia="ＭＳ 明朝"/>
          <w:szCs w:val="22"/>
          <w:lang w:eastAsia="ja-JP"/>
        </w:rPr>
        <w:t>L</w:t>
      </w:r>
      <w:r w:rsidR="008171BC">
        <w:rPr>
          <w:rFonts w:eastAsia="ＭＳ 明朝"/>
          <w:szCs w:val="22"/>
          <w:lang w:eastAsia="ja-JP"/>
        </w:rPr>
        <w:t>ocal resident</w:t>
      </w:r>
      <w:r w:rsidR="0097648F">
        <w:rPr>
          <w:rFonts w:eastAsia="ＭＳ 明朝"/>
          <w:szCs w:val="22"/>
          <w:lang w:eastAsia="ja-JP"/>
        </w:rPr>
        <w:t>s</w:t>
      </w:r>
      <w:proofErr w:type="gramEnd"/>
      <w:r w:rsidR="008171BC" w:rsidRPr="008171BC">
        <w:rPr>
          <w:rFonts w:eastAsia="ＭＳ 明朝"/>
          <w:szCs w:val="22"/>
          <w:lang w:eastAsia="ja-JP"/>
        </w:rPr>
        <w:t xml:space="preserve"> may have concerns if residual materials are left on the site or in the area, and measures should be taken by </w:t>
      </w:r>
      <w:r w:rsidR="008171BC">
        <w:rPr>
          <w:rFonts w:eastAsia="ＭＳ 明朝"/>
          <w:szCs w:val="22"/>
          <w:lang w:eastAsia="ja-JP"/>
        </w:rPr>
        <w:t>the</w:t>
      </w:r>
      <w:r w:rsidR="008171BC" w:rsidRPr="008171BC">
        <w:rPr>
          <w:rFonts w:eastAsia="ＭＳ 明朝"/>
          <w:szCs w:val="22"/>
          <w:lang w:eastAsia="ja-JP"/>
        </w:rPr>
        <w:t xml:space="preserve"> relevant authority to address such concerns through communication and consultation.</w:t>
      </w:r>
      <w:r w:rsidR="001D7AA0">
        <w:rPr>
          <w:rFonts w:eastAsia="ＭＳ 明朝"/>
          <w:szCs w:val="22"/>
          <w:lang w:eastAsia="ja-JP"/>
        </w:rPr>
        <w:t xml:space="preserve"> In case the generated wastes are transferred to other areas, a dialogue should be established with the stakeholders related to the waste reception area, as part of the consultation.</w:t>
      </w:r>
    </w:p>
    <w:p w14:paraId="5D29789F" w14:textId="77777777" w:rsidR="00AD3AF2" w:rsidRPr="00BA192B" w:rsidRDefault="00AD3AF2" w:rsidP="003B6E87">
      <w:pPr>
        <w:pStyle w:val="AnnalshdgB"/>
        <w:numPr>
          <w:ilvl w:val="1"/>
          <w:numId w:val="42"/>
        </w:numPr>
        <w:jc w:val="left"/>
        <w:rPr>
          <w:i w:val="0"/>
        </w:rPr>
      </w:pPr>
      <w:bookmarkStart w:id="96" w:name="_Toc159397484"/>
      <w:bookmarkStart w:id="97" w:name="_Toc166586816"/>
      <w:r w:rsidRPr="00BA192B">
        <w:rPr>
          <w:i w:val="0"/>
        </w:rPr>
        <w:t>Implementation of the remediation action plan</w:t>
      </w:r>
      <w:bookmarkEnd w:id="96"/>
      <w:bookmarkEnd w:id="97"/>
    </w:p>
    <w:p w14:paraId="1B0541B5" w14:textId="53E0D828" w:rsidR="00AD3AF2" w:rsidRPr="00AD3AF2" w:rsidRDefault="00AD3AF2" w:rsidP="00AD3AF2">
      <w:pPr>
        <w:numPr>
          <w:ilvl w:val="0"/>
          <w:numId w:val="13"/>
        </w:numPr>
        <w:tabs>
          <w:tab w:val="num" w:pos="634"/>
          <w:tab w:val="left" w:pos="851"/>
        </w:tabs>
        <w:ind w:left="0"/>
        <w:jc w:val="both"/>
        <w:rPr>
          <w:rFonts w:eastAsia="ＭＳ 明朝"/>
          <w:szCs w:val="22"/>
          <w:lang w:eastAsia="ja-JP"/>
        </w:rPr>
      </w:pPr>
      <w:r w:rsidRPr="00AD3AF2">
        <w:rPr>
          <w:rFonts w:eastAsia="ＭＳ 明朝"/>
          <w:szCs w:val="22"/>
          <w:lang w:eastAsia="ja-JP"/>
        </w:rPr>
        <w:t>Once the remediation plan has been decided and approved by the competent regulatory authorities, implementation of the plan will need to be initiated. Activities should be performed in accordance with the requirements established in the remediation plan</w:t>
      </w:r>
      <w:r w:rsidR="00880D2F">
        <w:rPr>
          <w:rFonts w:eastAsia="ＭＳ 明朝"/>
          <w:szCs w:val="22"/>
          <w:lang w:eastAsia="ja-JP"/>
        </w:rPr>
        <w:t xml:space="preserve"> </w:t>
      </w:r>
      <w:r w:rsidRPr="00AD3AF2">
        <w:rPr>
          <w:rFonts w:eastAsia="ＭＳ 明朝"/>
          <w:szCs w:val="22"/>
          <w:lang w:eastAsia="ja-JP"/>
        </w:rPr>
        <w:t xml:space="preserve">in line with approved working procedures and by </w:t>
      </w:r>
      <w:r w:rsidR="00592267">
        <w:rPr>
          <w:rFonts w:eastAsia="ＭＳ 明朝"/>
          <w:szCs w:val="22"/>
          <w:lang w:eastAsia="ja-JP"/>
        </w:rPr>
        <w:t>appropriately</w:t>
      </w:r>
      <w:r w:rsidRPr="00AD3AF2">
        <w:rPr>
          <w:rFonts w:eastAsia="ＭＳ 明朝"/>
          <w:szCs w:val="22"/>
          <w:lang w:eastAsia="ja-JP"/>
        </w:rPr>
        <w:t xml:space="preserve"> trained workers. </w:t>
      </w:r>
    </w:p>
    <w:p w14:paraId="33B67D58" w14:textId="441A229F" w:rsidR="00AD3AF2" w:rsidRPr="00AD3AF2" w:rsidRDefault="00AD3AF2" w:rsidP="00AD3AF2">
      <w:pPr>
        <w:numPr>
          <w:ilvl w:val="0"/>
          <w:numId w:val="13"/>
        </w:numPr>
        <w:tabs>
          <w:tab w:val="num" w:pos="634"/>
          <w:tab w:val="left" w:pos="851"/>
        </w:tabs>
        <w:ind w:left="0"/>
        <w:jc w:val="both"/>
        <w:rPr>
          <w:rFonts w:eastAsia="ＭＳ 明朝"/>
          <w:szCs w:val="22"/>
          <w:lang w:eastAsia="ja-JP"/>
        </w:rPr>
      </w:pPr>
      <w:r w:rsidRPr="00AD3AF2">
        <w:rPr>
          <w:rFonts w:eastAsia="ＭＳ 明朝"/>
          <w:szCs w:val="22"/>
          <w:lang w:eastAsia="ja-JP"/>
        </w:rPr>
        <w:t>Management of radioactive and non-radioactive waste generated during remediation should be done in compliance with legal and regulatory requirements and should be fully documented in accordance with a robust management system (e.g. see IAEA, 2016).</w:t>
      </w:r>
    </w:p>
    <w:p w14:paraId="7AF36278" w14:textId="4A0E06A9" w:rsidR="00AD3AF2" w:rsidRPr="006F7234" w:rsidRDefault="00AD3AF2" w:rsidP="005E4BB7">
      <w:pPr>
        <w:numPr>
          <w:ilvl w:val="0"/>
          <w:numId w:val="13"/>
        </w:numPr>
        <w:tabs>
          <w:tab w:val="num" w:pos="634"/>
          <w:tab w:val="left" w:pos="851"/>
        </w:tabs>
        <w:ind w:left="0"/>
        <w:jc w:val="both"/>
        <w:rPr>
          <w:rFonts w:eastAsia="ＭＳ 明朝"/>
          <w:szCs w:val="22"/>
          <w:lang w:eastAsia="ja-JP"/>
        </w:rPr>
      </w:pPr>
      <w:r w:rsidRPr="006F7234">
        <w:rPr>
          <w:rFonts w:eastAsia="ＭＳ 明朝"/>
          <w:szCs w:val="22"/>
          <w:lang w:eastAsia="ja-JP"/>
        </w:rPr>
        <w:t xml:space="preserve">Source, environmental and individual (for remediation workers) monitoring programmes need to be established within and around the contaminated </w:t>
      </w:r>
      <w:r w:rsidR="00D64797">
        <w:rPr>
          <w:rFonts w:eastAsia="ＭＳ 明朝"/>
          <w:szCs w:val="22"/>
          <w:lang w:eastAsia="ja-JP"/>
        </w:rPr>
        <w:t>area</w:t>
      </w:r>
      <w:r w:rsidRPr="006F7234">
        <w:rPr>
          <w:rFonts w:eastAsia="ＭＳ 明朝"/>
          <w:szCs w:val="22"/>
          <w:lang w:eastAsia="ja-JP"/>
        </w:rPr>
        <w:t xml:space="preserve"> to ensure compliance with remediation objectives. Monitoring the area can also help to </w:t>
      </w:r>
      <w:r w:rsidR="00373B92">
        <w:rPr>
          <w:rFonts w:eastAsia="ＭＳ 明朝"/>
          <w:szCs w:val="22"/>
          <w:lang w:eastAsia="ja-JP"/>
        </w:rPr>
        <w:t>track</w:t>
      </w:r>
      <w:r w:rsidRPr="006F7234">
        <w:rPr>
          <w:rFonts w:eastAsia="ＭＳ 明朝"/>
          <w:szCs w:val="22"/>
          <w:lang w:eastAsia="ja-JP"/>
        </w:rPr>
        <w:t xml:space="preserve"> contaminant migration from the contaminated area where remediation work is conducted to other areas. </w:t>
      </w:r>
      <w:r w:rsidR="00CB1B7B" w:rsidRPr="006F7234">
        <w:rPr>
          <w:rFonts w:eastAsia="ＭＳ 明朝"/>
          <w:szCs w:val="22"/>
          <w:lang w:eastAsia="ja-JP"/>
        </w:rPr>
        <w:t xml:space="preserve">The monitoring programme should address all potential hazards, </w:t>
      </w:r>
      <w:r w:rsidR="00F53749" w:rsidRPr="006F7234">
        <w:rPr>
          <w:rFonts w:eastAsia="ＭＳ 明朝"/>
          <w:szCs w:val="22"/>
          <w:lang w:eastAsia="ja-JP"/>
        </w:rPr>
        <w:t>risks,</w:t>
      </w:r>
      <w:r w:rsidR="00CB1B7B" w:rsidRPr="006F7234">
        <w:rPr>
          <w:rFonts w:eastAsia="ＭＳ 明朝"/>
          <w:szCs w:val="22"/>
          <w:lang w:eastAsia="ja-JP"/>
        </w:rPr>
        <w:t xml:space="preserve"> and exposure pathways and should be modified, as necessary, </w:t>
      </w:r>
      <w:r w:rsidR="006B3716">
        <w:rPr>
          <w:rFonts w:eastAsia="ＭＳ 明朝"/>
          <w:szCs w:val="22"/>
          <w:lang w:eastAsia="ja-JP"/>
        </w:rPr>
        <w:t xml:space="preserve">throughout </w:t>
      </w:r>
      <w:r w:rsidR="00CB1B7B" w:rsidRPr="006F7234">
        <w:rPr>
          <w:rFonts w:eastAsia="ＭＳ 明朝"/>
          <w:szCs w:val="22"/>
          <w:lang w:eastAsia="ja-JP"/>
        </w:rPr>
        <w:t xml:space="preserve">the implementation of remediation (e.g. </w:t>
      </w:r>
      <w:r w:rsidR="00D6567F">
        <w:rPr>
          <w:rFonts w:eastAsia="ＭＳ 明朝"/>
          <w:szCs w:val="22"/>
          <w:lang w:eastAsia="ja-JP"/>
        </w:rPr>
        <w:t xml:space="preserve">based on </w:t>
      </w:r>
      <w:r w:rsidR="00CB3736">
        <w:rPr>
          <w:rFonts w:eastAsia="ＭＳ 明朝"/>
          <w:szCs w:val="22"/>
          <w:lang w:eastAsia="ja-JP"/>
        </w:rPr>
        <w:t>c</w:t>
      </w:r>
      <w:r w:rsidR="00CB1B7B" w:rsidRPr="006F7234">
        <w:rPr>
          <w:rFonts w:eastAsia="ＭＳ 明朝"/>
          <w:szCs w:val="22"/>
          <w:lang w:eastAsia="ja-JP"/>
        </w:rPr>
        <w:t>haracter</w:t>
      </w:r>
      <w:r w:rsidR="002D67F8">
        <w:rPr>
          <w:rFonts w:eastAsia="ＭＳ 明朝"/>
          <w:szCs w:val="22"/>
          <w:lang w:eastAsia="ja-JP"/>
        </w:rPr>
        <w:t>is</w:t>
      </w:r>
      <w:r w:rsidR="00CB1B7B" w:rsidRPr="006F7234">
        <w:rPr>
          <w:rFonts w:eastAsia="ＭＳ 明朝"/>
          <w:szCs w:val="22"/>
          <w:lang w:eastAsia="ja-JP"/>
        </w:rPr>
        <w:t>ation and monitoring results).</w:t>
      </w:r>
      <w:r w:rsidR="004D7E2C">
        <w:rPr>
          <w:rFonts w:eastAsia="ＭＳ 明朝"/>
          <w:szCs w:val="22"/>
          <w:lang w:eastAsia="ja-JP"/>
        </w:rPr>
        <w:t xml:space="preserve"> </w:t>
      </w:r>
      <w:r w:rsidRPr="006F7234">
        <w:rPr>
          <w:rFonts w:eastAsia="ＭＳ 明朝"/>
          <w:szCs w:val="22"/>
          <w:lang w:eastAsia="ja-JP"/>
        </w:rPr>
        <w:t>Monitoring data should be recorded and provided to regulatory authorities to demonstrate remediation work is being conduct</w:t>
      </w:r>
      <w:r w:rsidR="00004459">
        <w:rPr>
          <w:rFonts w:eastAsia="ＭＳ 明朝"/>
          <w:szCs w:val="22"/>
          <w:lang w:eastAsia="ja-JP"/>
        </w:rPr>
        <w:t>ed</w:t>
      </w:r>
      <w:r w:rsidRPr="006F7234">
        <w:rPr>
          <w:rFonts w:eastAsia="ＭＳ 明朝"/>
          <w:szCs w:val="22"/>
          <w:lang w:eastAsia="ja-JP"/>
        </w:rPr>
        <w:t xml:space="preserve"> in accordance with the approved remediation plan. Monitoring data can also be used for communication and consultation with stakeholders. </w:t>
      </w:r>
      <w:r w:rsidR="00283D0C" w:rsidRPr="006F7234">
        <w:rPr>
          <w:rFonts w:eastAsia="ＭＳ 明朝"/>
          <w:szCs w:val="22"/>
          <w:lang w:eastAsia="ja-JP"/>
        </w:rPr>
        <w:t>Moreover, it is recommended to involve relevant stakeholders in the monitoring programmes of the site</w:t>
      </w:r>
      <w:r w:rsidR="00283D0C" w:rsidRPr="006451DB">
        <w:rPr>
          <w:rFonts w:eastAsia="ＭＳ 明朝"/>
          <w:szCs w:val="22"/>
          <w:lang w:eastAsia="ja-JP"/>
        </w:rPr>
        <w:t xml:space="preserve"> under remediation to build confidence and trust</w:t>
      </w:r>
      <w:r w:rsidR="006F7234" w:rsidRPr="006451DB">
        <w:rPr>
          <w:rFonts w:eastAsia="ＭＳ 明朝"/>
          <w:szCs w:val="22"/>
          <w:lang w:eastAsia="ja-JP"/>
        </w:rPr>
        <w:t xml:space="preserve"> and to </w:t>
      </w:r>
      <w:r w:rsidR="006F7234" w:rsidRPr="008C11D7">
        <w:rPr>
          <w:rFonts w:eastAsia="ＭＳ 明朝"/>
          <w:szCs w:val="22"/>
          <w:lang w:eastAsia="ja-JP"/>
        </w:rPr>
        <w:t xml:space="preserve">help </w:t>
      </w:r>
      <w:proofErr w:type="gramStart"/>
      <w:r w:rsidR="006F7234">
        <w:rPr>
          <w:rFonts w:eastAsia="ＭＳ 明朝"/>
          <w:szCs w:val="22"/>
          <w:lang w:eastAsia="ja-JP"/>
        </w:rPr>
        <w:t>local residents</w:t>
      </w:r>
      <w:proofErr w:type="gramEnd"/>
      <w:r w:rsidR="006F7234">
        <w:rPr>
          <w:rFonts w:eastAsia="ＭＳ 明朝"/>
          <w:szCs w:val="22"/>
          <w:lang w:eastAsia="ja-JP"/>
        </w:rPr>
        <w:t xml:space="preserve"> to</w:t>
      </w:r>
      <w:r w:rsidR="006F7234" w:rsidRPr="006F7234">
        <w:rPr>
          <w:rFonts w:eastAsia="ＭＳ 明朝"/>
          <w:szCs w:val="22"/>
          <w:lang w:eastAsia="ja-JP"/>
        </w:rPr>
        <w:t xml:space="preserve"> </w:t>
      </w:r>
      <w:r w:rsidR="00E46E7D">
        <w:rPr>
          <w:rFonts w:eastAsia="ＭＳ 明朝"/>
          <w:szCs w:val="22"/>
          <w:lang w:eastAsia="ja-JP"/>
        </w:rPr>
        <w:t>implement</w:t>
      </w:r>
      <w:r w:rsidR="006F7234" w:rsidRPr="006F7234">
        <w:rPr>
          <w:rFonts w:eastAsia="ＭＳ 明朝"/>
          <w:szCs w:val="22"/>
          <w:lang w:eastAsia="ja-JP"/>
        </w:rPr>
        <w:t xml:space="preserve"> their own </w:t>
      </w:r>
      <w:r w:rsidR="00E2135F">
        <w:rPr>
          <w:rFonts w:eastAsia="ＭＳ 明朝"/>
          <w:szCs w:val="22"/>
          <w:lang w:eastAsia="ja-JP"/>
        </w:rPr>
        <w:t>self-help protective actions</w:t>
      </w:r>
      <w:r w:rsidR="00E46E7D">
        <w:rPr>
          <w:rFonts w:eastAsia="ＭＳ 明朝"/>
          <w:szCs w:val="22"/>
          <w:lang w:eastAsia="ja-JP"/>
        </w:rPr>
        <w:t>, if relevant</w:t>
      </w:r>
      <w:r w:rsidR="006F7234" w:rsidRPr="006F7234">
        <w:rPr>
          <w:rFonts w:eastAsia="ＭＳ 明朝"/>
          <w:szCs w:val="22"/>
          <w:lang w:eastAsia="ja-JP"/>
        </w:rPr>
        <w:t>.</w:t>
      </w:r>
      <w:r w:rsidR="00283D0C" w:rsidRPr="006F7234">
        <w:rPr>
          <w:rFonts w:eastAsia="ＭＳ 明朝"/>
          <w:szCs w:val="22"/>
          <w:lang w:eastAsia="ja-JP"/>
        </w:rPr>
        <w:t xml:space="preserve"> </w:t>
      </w:r>
      <w:r w:rsidRPr="006F7234">
        <w:rPr>
          <w:rFonts w:eastAsia="ＭＳ 明朝"/>
          <w:szCs w:val="22"/>
          <w:lang w:eastAsia="ja-JP"/>
        </w:rPr>
        <w:t>If, during remediation work, unexpected levels of exposure are detected, appropriate corrective actions should be taken</w:t>
      </w:r>
      <w:r w:rsidR="007839A2">
        <w:rPr>
          <w:rFonts w:eastAsia="ＭＳ 明朝"/>
          <w:szCs w:val="22"/>
          <w:lang w:eastAsia="ja-JP"/>
        </w:rPr>
        <w:t>,</w:t>
      </w:r>
      <w:r w:rsidRPr="006F7234">
        <w:rPr>
          <w:rFonts w:eastAsia="ＭＳ 明朝"/>
          <w:szCs w:val="22"/>
          <w:lang w:eastAsia="ja-JP"/>
        </w:rPr>
        <w:t xml:space="preserve"> and the remediation plan and monitoring programme(s) should be updated as appropriate.</w:t>
      </w:r>
    </w:p>
    <w:p w14:paraId="66159D10" w14:textId="15B9BA5D" w:rsidR="00AD3AF2" w:rsidRPr="00AD3AF2" w:rsidRDefault="00AD3AF2" w:rsidP="00AD3AF2">
      <w:pPr>
        <w:numPr>
          <w:ilvl w:val="0"/>
          <w:numId w:val="13"/>
        </w:numPr>
        <w:tabs>
          <w:tab w:val="num" w:pos="634"/>
          <w:tab w:val="left" w:pos="851"/>
        </w:tabs>
        <w:ind w:left="0"/>
        <w:jc w:val="both"/>
        <w:rPr>
          <w:rFonts w:eastAsia="ＭＳ 明朝"/>
          <w:szCs w:val="22"/>
          <w:lang w:eastAsia="ja-JP"/>
        </w:rPr>
      </w:pPr>
      <w:r w:rsidRPr="00AD3AF2">
        <w:rPr>
          <w:rFonts w:eastAsia="ＭＳ 明朝"/>
          <w:szCs w:val="22"/>
          <w:lang w:eastAsia="ja-JP"/>
        </w:rPr>
        <w:t xml:space="preserve">In cases where remediation cannot be implemented as planned, the remediation plan should be reviewed and updated, including the objectives of protection, if relevant. Final remediation monitoring and characterisation should be undertaken to </w:t>
      </w:r>
      <w:r w:rsidR="00312753">
        <w:rPr>
          <w:rFonts w:eastAsia="ＭＳ 明朝"/>
          <w:szCs w:val="22"/>
          <w:lang w:eastAsia="ja-JP"/>
        </w:rPr>
        <w:t>verify</w:t>
      </w:r>
      <w:r w:rsidR="00312753" w:rsidRPr="00AD3AF2">
        <w:rPr>
          <w:rFonts w:eastAsia="ＭＳ 明朝"/>
          <w:szCs w:val="22"/>
          <w:lang w:eastAsia="ja-JP"/>
        </w:rPr>
        <w:t xml:space="preserve"> </w:t>
      </w:r>
      <w:r w:rsidRPr="00AD3AF2">
        <w:rPr>
          <w:rFonts w:eastAsia="ＭＳ 明朝"/>
          <w:szCs w:val="22"/>
          <w:lang w:eastAsia="ja-JP"/>
        </w:rPr>
        <w:t xml:space="preserve">whether the area has been adequately remediated and can be released for unrestricted or restricted use or </w:t>
      </w:r>
      <w:r w:rsidR="00815D11">
        <w:rPr>
          <w:rFonts w:eastAsia="ＭＳ 明朝"/>
          <w:szCs w:val="22"/>
          <w:lang w:eastAsia="ja-JP"/>
        </w:rPr>
        <w:t xml:space="preserve">if </w:t>
      </w:r>
      <w:r w:rsidRPr="00AD3AF2">
        <w:rPr>
          <w:rFonts w:eastAsia="ＭＳ 明朝"/>
          <w:szCs w:val="22"/>
          <w:lang w:eastAsia="ja-JP"/>
        </w:rPr>
        <w:t>further remediation is required.</w:t>
      </w:r>
    </w:p>
    <w:p w14:paraId="6637583C" w14:textId="77777777" w:rsidR="00AD3AF2" w:rsidRPr="00BA192B" w:rsidRDefault="00AD3AF2" w:rsidP="003B6E87">
      <w:pPr>
        <w:pStyle w:val="AnnalshdgB"/>
        <w:numPr>
          <w:ilvl w:val="1"/>
          <w:numId w:val="42"/>
        </w:numPr>
        <w:jc w:val="left"/>
        <w:rPr>
          <w:i w:val="0"/>
        </w:rPr>
      </w:pPr>
      <w:bookmarkStart w:id="98" w:name="_Toc117873845"/>
      <w:bookmarkStart w:id="99" w:name="_Toc159397485"/>
      <w:bookmarkStart w:id="100" w:name="_Toc166586817"/>
      <w:r w:rsidRPr="00BA192B">
        <w:rPr>
          <w:i w:val="0"/>
        </w:rPr>
        <w:t>Post-remediation management</w:t>
      </w:r>
      <w:bookmarkEnd w:id="98"/>
      <w:bookmarkEnd w:id="99"/>
      <w:bookmarkEnd w:id="100"/>
    </w:p>
    <w:p w14:paraId="7440E570" w14:textId="77777777" w:rsidR="00AD3AF2" w:rsidRPr="00AD3AF2" w:rsidRDefault="00AD3AF2" w:rsidP="00AD3AF2">
      <w:pPr>
        <w:numPr>
          <w:ilvl w:val="0"/>
          <w:numId w:val="13"/>
        </w:numPr>
        <w:tabs>
          <w:tab w:val="num" w:pos="634"/>
          <w:tab w:val="left" w:pos="851"/>
        </w:tabs>
        <w:ind w:left="0"/>
        <w:jc w:val="both"/>
        <w:rPr>
          <w:rFonts w:eastAsia="ＭＳ 明朝"/>
          <w:szCs w:val="22"/>
          <w:lang w:eastAsia="ja-JP"/>
        </w:rPr>
      </w:pPr>
      <w:r w:rsidRPr="00AD3AF2">
        <w:rPr>
          <w:rFonts w:eastAsia="ＭＳ 明朝"/>
          <w:szCs w:val="22"/>
          <w:lang w:eastAsia="ja-JP"/>
        </w:rPr>
        <w:t xml:space="preserve">The post‑remediation management phase of remediation addresses how the remediated area should be managed once the remediation has been completed and part or </w:t>
      </w:r>
      <w:proofErr w:type="gramStart"/>
      <w:r w:rsidRPr="00AD3AF2">
        <w:rPr>
          <w:rFonts w:eastAsia="ＭＳ 明朝"/>
          <w:szCs w:val="22"/>
          <w:lang w:eastAsia="ja-JP"/>
        </w:rPr>
        <w:t>all of</w:t>
      </w:r>
      <w:proofErr w:type="gramEnd"/>
      <w:r w:rsidRPr="00AD3AF2">
        <w:rPr>
          <w:rFonts w:eastAsia="ＭＳ 明朝"/>
          <w:szCs w:val="22"/>
          <w:lang w:eastAsia="ja-JP"/>
        </w:rPr>
        <w:t xml:space="preserve"> the site has been released from regulatory control. </w:t>
      </w:r>
    </w:p>
    <w:p w14:paraId="78AEEC40" w14:textId="4944555F" w:rsidR="00AD3AF2" w:rsidRPr="00AD3AF2" w:rsidRDefault="00AD3AF2" w:rsidP="005E4BB7">
      <w:pPr>
        <w:numPr>
          <w:ilvl w:val="0"/>
          <w:numId w:val="13"/>
        </w:numPr>
        <w:tabs>
          <w:tab w:val="num" w:pos="634"/>
          <w:tab w:val="left" w:pos="851"/>
        </w:tabs>
        <w:ind w:left="0"/>
        <w:jc w:val="both"/>
        <w:rPr>
          <w:rFonts w:eastAsia="ＭＳ 明朝"/>
          <w:szCs w:val="22"/>
          <w:lang w:eastAsia="ja-JP"/>
        </w:rPr>
      </w:pPr>
      <w:r w:rsidRPr="00AD3AF2">
        <w:rPr>
          <w:rFonts w:eastAsia="ＭＳ 明朝"/>
          <w:szCs w:val="22"/>
          <w:lang w:eastAsia="ja-JP"/>
        </w:rPr>
        <w:lastRenderedPageBreak/>
        <w:t xml:space="preserve">Actions for post-remediation, such as monitoring, </w:t>
      </w:r>
      <w:r w:rsidR="00615C93" w:rsidRPr="00AD3AF2">
        <w:rPr>
          <w:rFonts w:eastAsia="ＭＳ 明朝"/>
          <w:szCs w:val="22"/>
          <w:lang w:eastAsia="ja-JP"/>
        </w:rPr>
        <w:t>surveillance,</w:t>
      </w:r>
      <w:r w:rsidRPr="00AD3AF2">
        <w:rPr>
          <w:rFonts w:eastAsia="ＭＳ 明朝"/>
          <w:szCs w:val="22"/>
          <w:lang w:eastAsia="ja-JP"/>
        </w:rPr>
        <w:t xml:space="preserve"> and institutional control, if applicable, </w:t>
      </w:r>
      <w:r w:rsidR="00C70107">
        <w:rPr>
          <w:rFonts w:eastAsia="ＭＳ 明朝"/>
          <w:szCs w:val="22"/>
          <w:lang w:eastAsia="ja-JP"/>
        </w:rPr>
        <w:t xml:space="preserve">should </w:t>
      </w:r>
      <w:r w:rsidRPr="00AD3AF2">
        <w:rPr>
          <w:rFonts w:eastAsia="ＭＳ 明朝"/>
          <w:szCs w:val="22"/>
          <w:lang w:eastAsia="ja-JP"/>
        </w:rPr>
        <w:t xml:space="preserve">be </w:t>
      </w:r>
      <w:proofErr w:type="gramStart"/>
      <w:r w:rsidRPr="00AD3AF2">
        <w:rPr>
          <w:rFonts w:eastAsia="ＭＳ 明朝"/>
          <w:szCs w:val="22"/>
          <w:lang w:eastAsia="ja-JP"/>
        </w:rPr>
        <w:t>planned in advance</w:t>
      </w:r>
      <w:proofErr w:type="gramEnd"/>
      <w:r w:rsidRPr="00AD3AF2">
        <w:rPr>
          <w:rFonts w:eastAsia="ＭＳ 明朝"/>
          <w:szCs w:val="22"/>
          <w:lang w:eastAsia="ja-JP"/>
        </w:rPr>
        <w:t xml:space="preserve"> and described in the remediation plan. </w:t>
      </w:r>
      <w:r w:rsidR="00A46B0A">
        <w:rPr>
          <w:rFonts w:eastAsia="ＭＳ 明朝"/>
          <w:szCs w:val="22"/>
          <w:lang w:eastAsia="ja-JP"/>
        </w:rPr>
        <w:t xml:space="preserve">If </w:t>
      </w:r>
      <w:r w:rsidRPr="00AD3AF2">
        <w:rPr>
          <w:rFonts w:eastAsia="ＭＳ 明朝"/>
          <w:szCs w:val="22"/>
          <w:lang w:eastAsia="ja-JP"/>
        </w:rPr>
        <w:t xml:space="preserve">all or part of the site is released for restricted use, there may be a need for monitoring over a long timescale to ensure the level of exposure remains acceptable. Even without restriction, some level of monitoring and surveillance may be required after the remediation is completed. The extent of monitoring and surveillance should be based on the risks relating to the situation, on the associated degree of uncertainty, and on the need to verify the long-term stability of radiological conditions and other relevant conditions, based on the ethical obligation to consider the health and wellbeing </w:t>
      </w:r>
      <w:r w:rsidR="003C5F94" w:rsidRPr="00AD3AF2">
        <w:rPr>
          <w:rFonts w:eastAsia="ＭＳ 明朝"/>
          <w:szCs w:val="22"/>
          <w:lang w:eastAsia="ja-JP"/>
        </w:rPr>
        <w:t xml:space="preserve">of </w:t>
      </w:r>
      <w:r w:rsidR="00B91161">
        <w:rPr>
          <w:rFonts w:eastAsia="ＭＳ 明朝"/>
          <w:szCs w:val="22"/>
          <w:lang w:eastAsia="ja-JP"/>
        </w:rPr>
        <w:t xml:space="preserve">the population </w:t>
      </w:r>
      <w:r w:rsidR="003C5F94" w:rsidRPr="00AD3AF2">
        <w:rPr>
          <w:rFonts w:eastAsia="ＭＳ 明朝"/>
          <w:szCs w:val="22"/>
          <w:lang w:eastAsia="ja-JP"/>
        </w:rPr>
        <w:t>to</w:t>
      </w:r>
      <w:r w:rsidRPr="00AD3AF2">
        <w:rPr>
          <w:rFonts w:eastAsia="ＭＳ 明朝"/>
          <w:szCs w:val="22"/>
          <w:lang w:eastAsia="ja-JP"/>
        </w:rPr>
        <w:t xml:space="preserve"> be protected. </w:t>
      </w:r>
    </w:p>
    <w:p w14:paraId="69AA491C" w14:textId="30D7EAF8" w:rsidR="00AD3AF2" w:rsidRPr="00AD3AF2" w:rsidRDefault="0093312E" w:rsidP="00AD3AF2">
      <w:pPr>
        <w:numPr>
          <w:ilvl w:val="0"/>
          <w:numId w:val="13"/>
        </w:numPr>
        <w:tabs>
          <w:tab w:val="num" w:pos="634"/>
          <w:tab w:val="left" w:pos="851"/>
        </w:tabs>
        <w:ind w:left="0"/>
        <w:jc w:val="both"/>
        <w:rPr>
          <w:rFonts w:eastAsia="ＭＳ 明朝"/>
          <w:szCs w:val="22"/>
          <w:lang w:eastAsia="ja-JP"/>
        </w:rPr>
      </w:pPr>
      <w:r>
        <w:rPr>
          <w:rFonts w:eastAsia="ＭＳ 明朝"/>
          <w:szCs w:val="22"/>
          <w:lang w:eastAsia="ja-JP"/>
        </w:rPr>
        <w:t>The r</w:t>
      </w:r>
      <w:r w:rsidR="007B4417" w:rsidRPr="00AD3AF2">
        <w:rPr>
          <w:rFonts w:eastAsia="ＭＳ 明朝"/>
          <w:szCs w:val="22"/>
          <w:lang w:eastAsia="ja-JP"/>
        </w:rPr>
        <w:t>esults of the monitoring programmes after completion of remediation should be recorded, maintained</w:t>
      </w:r>
      <w:r>
        <w:rPr>
          <w:rFonts w:eastAsia="ＭＳ 明朝"/>
          <w:szCs w:val="22"/>
          <w:lang w:eastAsia="ja-JP"/>
        </w:rPr>
        <w:t xml:space="preserve">, </w:t>
      </w:r>
      <w:proofErr w:type="gramStart"/>
      <w:r>
        <w:rPr>
          <w:rFonts w:eastAsia="ＭＳ 明朝"/>
          <w:szCs w:val="22"/>
          <w:lang w:eastAsia="ja-JP"/>
        </w:rPr>
        <w:t>documented</w:t>
      </w:r>
      <w:proofErr w:type="gramEnd"/>
      <w:r w:rsidR="007B4417" w:rsidRPr="00AD3AF2">
        <w:rPr>
          <w:rFonts w:eastAsia="ＭＳ 明朝"/>
          <w:szCs w:val="22"/>
          <w:lang w:eastAsia="ja-JP"/>
        </w:rPr>
        <w:t xml:space="preserve"> and made available</w:t>
      </w:r>
      <w:r w:rsidR="007B4417">
        <w:rPr>
          <w:rFonts w:eastAsia="ＭＳ 明朝"/>
          <w:szCs w:val="22"/>
          <w:lang w:eastAsia="ja-JP"/>
        </w:rPr>
        <w:t xml:space="preserve">. </w:t>
      </w:r>
      <w:r w:rsidR="007B4417" w:rsidRPr="007B4417">
        <w:rPr>
          <w:rFonts w:eastAsia="ＭＳ 明朝"/>
          <w:szCs w:val="22"/>
          <w:lang w:eastAsia="ja-JP"/>
        </w:rPr>
        <w:t xml:space="preserve">The traceability of </w:t>
      </w:r>
      <w:r>
        <w:rPr>
          <w:rFonts w:eastAsia="ＭＳ 明朝"/>
          <w:szCs w:val="22"/>
          <w:lang w:eastAsia="ja-JP"/>
        </w:rPr>
        <w:t xml:space="preserve">the </w:t>
      </w:r>
      <w:r w:rsidR="007B4417" w:rsidRPr="007B4417">
        <w:rPr>
          <w:rFonts w:eastAsia="ＭＳ 明朝"/>
          <w:szCs w:val="22"/>
          <w:lang w:eastAsia="ja-JP"/>
        </w:rPr>
        <w:t xml:space="preserve">data </w:t>
      </w:r>
      <w:r>
        <w:rPr>
          <w:rFonts w:eastAsia="ＭＳ 明朝"/>
          <w:szCs w:val="22"/>
          <w:lang w:eastAsia="ja-JP"/>
        </w:rPr>
        <w:t xml:space="preserve">along all the remediation process </w:t>
      </w:r>
      <w:r w:rsidR="007B4417" w:rsidRPr="007B4417">
        <w:rPr>
          <w:rFonts w:eastAsia="ＭＳ 明朝"/>
          <w:szCs w:val="22"/>
          <w:lang w:eastAsia="ja-JP"/>
        </w:rPr>
        <w:t xml:space="preserve">related to </w:t>
      </w:r>
      <w:r>
        <w:rPr>
          <w:rFonts w:eastAsia="ＭＳ 明朝"/>
          <w:szCs w:val="22"/>
          <w:lang w:eastAsia="ja-JP"/>
        </w:rPr>
        <w:t>the contamination area</w:t>
      </w:r>
      <w:r w:rsidR="007B4417" w:rsidRPr="007B4417">
        <w:rPr>
          <w:rFonts w:eastAsia="ＭＳ 明朝"/>
          <w:szCs w:val="22"/>
          <w:lang w:eastAsia="ja-JP"/>
        </w:rPr>
        <w:t xml:space="preserve"> </w:t>
      </w:r>
      <w:r>
        <w:rPr>
          <w:rFonts w:eastAsia="ＭＳ 明朝"/>
          <w:szCs w:val="22"/>
          <w:lang w:eastAsia="ja-JP"/>
        </w:rPr>
        <w:t>is recommended</w:t>
      </w:r>
      <w:r w:rsidR="007B4417">
        <w:rPr>
          <w:rFonts w:eastAsia="ＭＳ 明朝"/>
          <w:szCs w:val="22"/>
          <w:lang w:eastAsia="ja-JP"/>
        </w:rPr>
        <w:t xml:space="preserve">. </w:t>
      </w:r>
      <w:r w:rsidR="00AD3AF2" w:rsidRPr="00AD3AF2">
        <w:rPr>
          <w:rFonts w:eastAsia="ＭＳ 明朝"/>
          <w:szCs w:val="22"/>
          <w:lang w:eastAsia="ja-JP"/>
        </w:rPr>
        <w:t xml:space="preserve">Dialogue with stakeholders should be maintained during the post-remediation phase. </w:t>
      </w:r>
      <w:r w:rsidR="00F4480B">
        <w:rPr>
          <w:rFonts w:eastAsia="ＭＳ 明朝"/>
          <w:szCs w:val="22"/>
          <w:lang w:eastAsia="ja-JP"/>
        </w:rPr>
        <w:t>Preserving</w:t>
      </w:r>
      <w:r w:rsidR="00AD3AF2" w:rsidRPr="00AD3AF2">
        <w:rPr>
          <w:rFonts w:eastAsia="ＭＳ 明朝"/>
          <w:szCs w:val="22"/>
          <w:lang w:eastAsia="ja-JP"/>
        </w:rPr>
        <w:t xml:space="preserve"> the memory of the area and the remedial actions taken contributes to </w:t>
      </w:r>
      <w:r w:rsidR="00072236">
        <w:rPr>
          <w:rFonts w:eastAsia="ＭＳ 明朝"/>
          <w:szCs w:val="22"/>
          <w:lang w:eastAsia="ja-JP"/>
        </w:rPr>
        <w:t xml:space="preserve">the </w:t>
      </w:r>
      <w:r w:rsidR="00AD3AF2" w:rsidRPr="00AD3AF2">
        <w:rPr>
          <w:rFonts w:eastAsia="ＭＳ 明朝"/>
          <w:szCs w:val="22"/>
          <w:lang w:eastAsia="ja-JP"/>
        </w:rPr>
        <w:t>sustainability of the protection strategy.</w:t>
      </w:r>
    </w:p>
    <w:p w14:paraId="44C3ACBC" w14:textId="0193B942" w:rsidR="00AD3AF2" w:rsidRPr="00AD3AF2" w:rsidRDefault="00AD3AF2" w:rsidP="00AD3AF2">
      <w:pPr>
        <w:numPr>
          <w:ilvl w:val="0"/>
          <w:numId w:val="13"/>
        </w:numPr>
        <w:tabs>
          <w:tab w:val="num" w:pos="634"/>
          <w:tab w:val="left" w:pos="851"/>
        </w:tabs>
        <w:ind w:left="0"/>
        <w:jc w:val="both"/>
        <w:rPr>
          <w:rFonts w:eastAsia="ＭＳ 明朝"/>
          <w:szCs w:val="22"/>
          <w:lang w:eastAsia="ja-JP"/>
        </w:rPr>
      </w:pPr>
      <w:r w:rsidRPr="00AD3AF2">
        <w:rPr>
          <w:rFonts w:eastAsia="ＭＳ 明朝"/>
          <w:szCs w:val="22"/>
          <w:lang w:eastAsia="ja-JP"/>
        </w:rPr>
        <w:t xml:space="preserve">Post‑remediation management includes the justification and implementation of any post‑remediation controls, and the periodic re‑evaluation of the effectiveness and robustness of the remedial actions taken. If a determination is made during re‑evaluation that the action is less effective than anticipated, additional actions may be necessary, and stakeholders will need to be fully informed and </w:t>
      </w:r>
      <w:r w:rsidR="00AA0852">
        <w:rPr>
          <w:rFonts w:eastAsia="ＭＳ 明朝"/>
          <w:szCs w:val="22"/>
          <w:lang w:eastAsia="ja-JP"/>
        </w:rPr>
        <w:t>involved</w:t>
      </w:r>
      <w:r w:rsidRPr="00AD3AF2">
        <w:rPr>
          <w:rFonts w:eastAsia="ＭＳ 明朝"/>
          <w:szCs w:val="22"/>
          <w:lang w:eastAsia="ja-JP"/>
        </w:rPr>
        <w:t xml:space="preserve">. Further actions could be </w:t>
      </w:r>
      <w:r w:rsidR="00EF412F">
        <w:rPr>
          <w:rFonts w:eastAsia="ＭＳ 明朝"/>
          <w:szCs w:val="22"/>
          <w:lang w:eastAsia="ja-JP"/>
        </w:rPr>
        <w:t>required</w:t>
      </w:r>
      <w:r w:rsidRPr="00AD3AF2">
        <w:rPr>
          <w:rFonts w:eastAsia="ＭＳ 明朝"/>
          <w:szCs w:val="22"/>
          <w:lang w:eastAsia="ja-JP"/>
        </w:rPr>
        <w:t xml:space="preserve"> in the light of relevant available lessons learned from long</w:t>
      </w:r>
      <w:r w:rsidR="00EF412F">
        <w:rPr>
          <w:rFonts w:eastAsia="ＭＳ 明朝"/>
          <w:szCs w:val="22"/>
          <w:lang w:eastAsia="ja-JP"/>
        </w:rPr>
        <w:t>-</w:t>
      </w:r>
      <w:r w:rsidRPr="00AD3AF2">
        <w:rPr>
          <w:rFonts w:eastAsia="ＭＳ 明朝"/>
          <w:szCs w:val="22"/>
          <w:lang w:eastAsia="ja-JP"/>
        </w:rPr>
        <w:t xml:space="preserve">term post-remediation management of similar sites or the availability of new technological developments </w:t>
      </w:r>
      <w:r w:rsidR="004E7872">
        <w:rPr>
          <w:rFonts w:eastAsia="ＭＳ 明朝"/>
          <w:szCs w:val="22"/>
          <w:lang w:eastAsia="ja-JP"/>
        </w:rPr>
        <w:t xml:space="preserve">pertinent </w:t>
      </w:r>
      <w:r w:rsidRPr="00AD3AF2">
        <w:rPr>
          <w:rFonts w:eastAsia="ＭＳ 明朝"/>
          <w:szCs w:val="22"/>
          <w:lang w:eastAsia="ja-JP"/>
        </w:rPr>
        <w:t xml:space="preserve">to the remediated area if justified. </w:t>
      </w:r>
    </w:p>
    <w:p w14:paraId="21C681EA" w14:textId="71420B31" w:rsidR="008828DE" w:rsidRPr="00AD3AF2" w:rsidRDefault="00AD3AF2" w:rsidP="005E4BB7">
      <w:pPr>
        <w:numPr>
          <w:ilvl w:val="0"/>
          <w:numId w:val="13"/>
        </w:numPr>
        <w:tabs>
          <w:tab w:val="num" w:pos="634"/>
          <w:tab w:val="left" w:pos="851"/>
        </w:tabs>
        <w:ind w:left="0"/>
        <w:jc w:val="both"/>
        <w:rPr>
          <w:rFonts w:eastAsia="ＭＳ 明朝"/>
          <w:szCs w:val="22"/>
          <w:lang w:eastAsia="ja-JP"/>
        </w:rPr>
      </w:pPr>
      <w:bookmarkStart w:id="101" w:name="_Hlk166140702"/>
      <w:r w:rsidRPr="00AD3AF2">
        <w:rPr>
          <w:rFonts w:eastAsia="ＭＳ 明朝"/>
          <w:szCs w:val="22"/>
          <w:lang w:eastAsia="ja-JP"/>
        </w:rPr>
        <w:t>The Commission recommends maintaining an appropriate long-term monitoring programme and transmission of the practical radiological protection culture as relevant.</w:t>
      </w:r>
      <w:bookmarkStart w:id="102" w:name="_Toc5464627"/>
      <w:bookmarkStart w:id="103" w:name="_Toc5464628"/>
      <w:bookmarkEnd w:id="102"/>
      <w:bookmarkEnd w:id="103"/>
      <w:r w:rsidR="006B54C9">
        <w:rPr>
          <w:rFonts w:eastAsia="ＭＳ 明朝"/>
          <w:szCs w:val="22"/>
          <w:lang w:eastAsia="ja-JP"/>
        </w:rPr>
        <w:t xml:space="preserve"> </w:t>
      </w:r>
      <w:r w:rsidR="006451DB" w:rsidRPr="006451DB">
        <w:rPr>
          <w:rFonts w:eastAsia="ＭＳ 明朝"/>
          <w:szCs w:val="22"/>
          <w:lang w:eastAsia="ja-JP"/>
        </w:rPr>
        <w:t>The aim is</w:t>
      </w:r>
      <w:r w:rsidR="006451DB">
        <w:rPr>
          <w:rFonts w:eastAsia="ＭＳ 明朝"/>
          <w:szCs w:val="22"/>
          <w:lang w:eastAsia="ja-JP"/>
        </w:rPr>
        <w:t xml:space="preserve"> that </w:t>
      </w:r>
      <w:r w:rsidR="00A45D3E">
        <w:rPr>
          <w:rFonts w:eastAsia="ＭＳ 明朝"/>
          <w:szCs w:val="22"/>
          <w:lang w:eastAsia="ja-JP"/>
        </w:rPr>
        <w:t xml:space="preserve">the </w:t>
      </w:r>
      <w:r w:rsidR="006451DB">
        <w:rPr>
          <w:rFonts w:eastAsia="ＭＳ 明朝"/>
          <w:szCs w:val="22"/>
          <w:lang w:eastAsia="ja-JP"/>
        </w:rPr>
        <w:t xml:space="preserve">next generations also </w:t>
      </w:r>
      <w:r w:rsidR="006451DB" w:rsidRPr="006451DB">
        <w:rPr>
          <w:rFonts w:eastAsia="ＭＳ 明朝"/>
          <w:szCs w:val="22"/>
          <w:lang w:eastAsia="ja-JP"/>
        </w:rPr>
        <w:t xml:space="preserve">achieve a shared understanding </w:t>
      </w:r>
      <w:r w:rsidR="006451DB">
        <w:rPr>
          <w:rFonts w:eastAsia="ＭＳ 明朝"/>
          <w:szCs w:val="22"/>
          <w:lang w:eastAsia="ja-JP"/>
        </w:rPr>
        <w:t>of the process that has been done</w:t>
      </w:r>
      <w:r w:rsidR="006451DB" w:rsidRPr="006451DB">
        <w:rPr>
          <w:rFonts w:eastAsia="ＭＳ 明朝"/>
          <w:szCs w:val="22"/>
          <w:lang w:eastAsia="ja-JP"/>
        </w:rPr>
        <w:t xml:space="preserve"> </w:t>
      </w:r>
      <w:r w:rsidR="005478AA">
        <w:rPr>
          <w:rFonts w:eastAsia="ＭＳ 明朝"/>
          <w:szCs w:val="22"/>
          <w:lang w:eastAsia="ja-JP"/>
        </w:rPr>
        <w:t xml:space="preserve">to </w:t>
      </w:r>
      <w:r w:rsidR="00F64CCA">
        <w:rPr>
          <w:rFonts w:eastAsia="ＭＳ 明朝"/>
          <w:szCs w:val="22"/>
          <w:lang w:eastAsia="ja-JP"/>
        </w:rPr>
        <w:t>remediate t</w:t>
      </w:r>
      <w:r w:rsidR="005478AA">
        <w:rPr>
          <w:rFonts w:eastAsia="ＭＳ 明朝"/>
          <w:szCs w:val="22"/>
          <w:lang w:eastAsia="ja-JP"/>
        </w:rPr>
        <w:t xml:space="preserve">he site </w:t>
      </w:r>
      <w:r w:rsidR="006451DB" w:rsidRPr="006451DB">
        <w:rPr>
          <w:rFonts w:eastAsia="ＭＳ 明朝"/>
          <w:szCs w:val="22"/>
          <w:lang w:eastAsia="ja-JP"/>
        </w:rPr>
        <w:t>and its implications.</w:t>
      </w:r>
      <w:r w:rsidR="003959AE">
        <w:rPr>
          <w:rFonts w:eastAsia="ＭＳ 明朝"/>
          <w:szCs w:val="22"/>
          <w:lang w:eastAsia="ja-JP"/>
        </w:rPr>
        <w:t xml:space="preserve"> </w:t>
      </w:r>
      <w:r w:rsidR="005478AA">
        <w:rPr>
          <w:rFonts w:eastAsia="ＭＳ 明朝"/>
          <w:szCs w:val="22"/>
          <w:lang w:eastAsia="ja-JP"/>
        </w:rPr>
        <w:t>Following the period of active regulatory control, i</w:t>
      </w:r>
      <w:r w:rsidR="003959AE">
        <w:rPr>
          <w:rFonts w:eastAsia="ＭＳ 明朝"/>
          <w:szCs w:val="22"/>
          <w:lang w:eastAsia="ja-JP"/>
        </w:rPr>
        <w:t xml:space="preserve">t </w:t>
      </w:r>
      <w:r w:rsidR="005478AA">
        <w:rPr>
          <w:rFonts w:eastAsia="ＭＳ 明朝"/>
          <w:szCs w:val="22"/>
          <w:lang w:eastAsia="ja-JP"/>
        </w:rPr>
        <w:t xml:space="preserve">will be important to have procedures in place that will assure that the site is not forgotten.  </w:t>
      </w:r>
      <w:r w:rsidR="0007041B">
        <w:rPr>
          <w:rFonts w:eastAsia="ＭＳ 明朝"/>
          <w:szCs w:val="22"/>
          <w:lang w:eastAsia="ja-JP"/>
        </w:rPr>
        <w:t>Keeping</w:t>
      </w:r>
      <w:r w:rsidR="006451DB">
        <w:rPr>
          <w:rFonts w:eastAsia="ＭＳ 明朝"/>
          <w:szCs w:val="22"/>
          <w:lang w:eastAsia="ja-JP"/>
        </w:rPr>
        <w:t xml:space="preserve"> an open attitude </w:t>
      </w:r>
      <w:r w:rsidR="005478AA">
        <w:rPr>
          <w:rFonts w:eastAsia="ＭＳ 明朝"/>
          <w:szCs w:val="22"/>
          <w:lang w:eastAsia="ja-JP"/>
        </w:rPr>
        <w:t xml:space="preserve">about the role of future generations as stakeholders </w:t>
      </w:r>
      <w:r w:rsidR="006451DB">
        <w:rPr>
          <w:rFonts w:eastAsia="ＭＳ 明朝"/>
          <w:szCs w:val="22"/>
          <w:lang w:eastAsia="ja-JP"/>
        </w:rPr>
        <w:t xml:space="preserve">is </w:t>
      </w:r>
      <w:r w:rsidR="006133E4">
        <w:rPr>
          <w:rFonts w:eastAsia="ＭＳ 明朝"/>
          <w:szCs w:val="22"/>
          <w:lang w:eastAsia="ja-JP"/>
        </w:rPr>
        <w:t xml:space="preserve">the key </w:t>
      </w:r>
      <w:r w:rsidR="006451DB" w:rsidRPr="006451DB">
        <w:rPr>
          <w:rFonts w:eastAsia="ＭＳ 明朝"/>
          <w:szCs w:val="22"/>
          <w:lang w:eastAsia="ja-JP"/>
        </w:rPr>
        <w:t xml:space="preserve">to </w:t>
      </w:r>
      <w:r w:rsidR="00C362D1">
        <w:rPr>
          <w:rFonts w:eastAsia="ＭＳ 明朝"/>
          <w:szCs w:val="22"/>
          <w:lang w:eastAsia="ja-JP"/>
        </w:rPr>
        <w:t xml:space="preserve">sustaining </w:t>
      </w:r>
      <w:r w:rsidR="006451DB" w:rsidRPr="006451DB">
        <w:rPr>
          <w:rFonts w:eastAsia="ＭＳ 明朝"/>
          <w:szCs w:val="22"/>
          <w:lang w:eastAsia="ja-JP"/>
        </w:rPr>
        <w:t>public trust and confidence</w:t>
      </w:r>
      <w:r w:rsidR="0043559C">
        <w:rPr>
          <w:rFonts w:eastAsia="ＭＳ 明朝"/>
          <w:szCs w:val="22"/>
          <w:lang w:eastAsia="ja-JP"/>
        </w:rPr>
        <w:t>.</w:t>
      </w:r>
    </w:p>
    <w:p w14:paraId="650E53AE" w14:textId="48438932" w:rsidR="007C10C6" w:rsidRPr="00511168" w:rsidRDefault="00954949" w:rsidP="00511168">
      <w:pPr>
        <w:rPr>
          <w:rFonts w:eastAsia="ＭＳ 明朝"/>
          <w:szCs w:val="22"/>
          <w:lang w:eastAsia="ja-JP"/>
        </w:rPr>
      </w:pPr>
      <w:bookmarkStart w:id="104" w:name="_Toc1125694"/>
      <w:bookmarkEnd w:id="73"/>
      <w:r w:rsidRPr="004E44F2">
        <w:rPr>
          <w:lang w:val="en-US"/>
        </w:rPr>
        <w:br w:type="page"/>
      </w:r>
    </w:p>
    <w:p w14:paraId="71AD2DAC" w14:textId="2EAE2C10" w:rsidR="004836C9" w:rsidRPr="007C10C6" w:rsidRDefault="004517C9" w:rsidP="003B6E87">
      <w:pPr>
        <w:pStyle w:val="AnnalshdgA"/>
        <w:numPr>
          <w:ilvl w:val="0"/>
          <w:numId w:val="42"/>
        </w:numPr>
        <w:rPr>
          <w:snapToGrid w:val="0"/>
        </w:rPr>
      </w:pPr>
      <w:bookmarkStart w:id="105" w:name="_Toc117873846"/>
      <w:bookmarkEnd w:id="101"/>
      <w:r>
        <w:rPr>
          <w:snapToGrid w:val="0"/>
        </w:rPr>
        <w:lastRenderedPageBreak/>
        <w:t xml:space="preserve"> </w:t>
      </w:r>
      <w:bookmarkStart w:id="106" w:name="_Toc159397486"/>
      <w:bookmarkStart w:id="107" w:name="_Toc166586818"/>
      <w:r w:rsidR="003970A7" w:rsidRPr="007C10C6">
        <w:rPr>
          <w:snapToGrid w:val="0"/>
        </w:rPr>
        <w:t>CONCLUSIONS</w:t>
      </w:r>
      <w:bookmarkEnd w:id="104"/>
      <w:bookmarkEnd w:id="105"/>
      <w:bookmarkEnd w:id="106"/>
      <w:bookmarkEnd w:id="107"/>
    </w:p>
    <w:p w14:paraId="1BBE1C2B" w14:textId="7DA8B33C" w:rsidR="004836C9" w:rsidRPr="00A03C1E" w:rsidRDefault="004836C9" w:rsidP="000771AC">
      <w:pPr>
        <w:pStyle w:val="ICRPnumberedparagraph"/>
        <w:numPr>
          <w:ilvl w:val="0"/>
          <w:numId w:val="13"/>
        </w:numPr>
        <w:tabs>
          <w:tab w:val="num" w:pos="630"/>
        </w:tabs>
        <w:ind w:left="0"/>
      </w:pPr>
      <w:r w:rsidRPr="00A03C1E">
        <w:t xml:space="preserve">This publication provides guidance for protection of workers, the public, and the environment from exposures resulting from areas contaminated </w:t>
      </w:r>
      <w:proofErr w:type="gramStart"/>
      <w:r w:rsidR="00F91C06" w:rsidRPr="00A03C1E">
        <w:t>as a result of</w:t>
      </w:r>
      <w:proofErr w:type="gramEnd"/>
      <w:r w:rsidR="00F91C06" w:rsidRPr="00A03C1E">
        <w:t xml:space="preserve"> </w:t>
      </w:r>
      <w:r w:rsidRPr="00A03C1E">
        <w:t>past activities. These contaminated areas represent existing exposure situations. This publication covers areas contaminated by residual radioactive material arising from past activities that were never subject to regulatory control or that were subject to regulatory control but not in accordance with the current I</w:t>
      </w:r>
      <w:r w:rsidR="00E777A3">
        <w:t>CRP system of r</w:t>
      </w:r>
      <w:r w:rsidRPr="00A03C1E">
        <w:t>adiologic</w:t>
      </w:r>
      <w:r w:rsidR="00E777A3">
        <w:t>al p</w:t>
      </w:r>
      <w:r w:rsidRPr="00A03C1E">
        <w:t xml:space="preserve">rotection. </w:t>
      </w:r>
    </w:p>
    <w:p w14:paraId="2D2CD147" w14:textId="77777777" w:rsidR="00AE1184" w:rsidRDefault="004836C9" w:rsidP="000771AC">
      <w:pPr>
        <w:pStyle w:val="ICRPnumberedparagraph"/>
        <w:numPr>
          <w:ilvl w:val="0"/>
          <w:numId w:val="13"/>
        </w:numPr>
        <w:tabs>
          <w:tab w:val="num" w:pos="630"/>
        </w:tabs>
        <w:ind w:left="0"/>
      </w:pPr>
      <w:r w:rsidRPr="00A03C1E">
        <w:t xml:space="preserve">The Commission recommends an integrated and graded approach to optimisation for the management of contaminated areas, considering prevailing circumstances. Such an approach </w:t>
      </w:r>
      <w:r w:rsidR="001B371D" w:rsidRPr="00A03C1E">
        <w:t xml:space="preserve">is preferably supported by early and ongoing engagement </w:t>
      </w:r>
      <w:r w:rsidRPr="00A03C1E">
        <w:t>with stakeholders</w:t>
      </w:r>
      <w:r w:rsidR="00DE14D4">
        <w:t>. It</w:t>
      </w:r>
      <w:r w:rsidRPr="00A03C1E">
        <w:t xml:space="preserve"> aims to balance the resources applied to the control of both radiological and non-radiological hazards to maximise overall benefit and well-being.</w:t>
      </w:r>
      <w:r w:rsidR="001E6A78">
        <w:t xml:space="preserve"> </w:t>
      </w:r>
    </w:p>
    <w:p w14:paraId="674B5AB0" w14:textId="2D53DA4E" w:rsidR="004836C9" w:rsidRPr="00A03C1E" w:rsidRDefault="00FE2703" w:rsidP="000771AC">
      <w:pPr>
        <w:pStyle w:val="ICRPnumberedparagraph"/>
        <w:numPr>
          <w:ilvl w:val="0"/>
          <w:numId w:val="13"/>
        </w:numPr>
        <w:tabs>
          <w:tab w:val="num" w:pos="630"/>
        </w:tabs>
        <w:ind w:left="0"/>
      </w:pPr>
      <w:r>
        <w:t xml:space="preserve">Stakeholder engagement </w:t>
      </w:r>
      <w:r w:rsidR="00A91660">
        <w:t xml:space="preserve">is important throughout the </w:t>
      </w:r>
      <w:r w:rsidR="004E3F72">
        <w:t xml:space="preserve">remediation </w:t>
      </w:r>
      <w:r w:rsidR="009918CC">
        <w:t xml:space="preserve">process from setting reference levels </w:t>
      </w:r>
      <w:r w:rsidR="00E0465D">
        <w:t>and end state aims</w:t>
      </w:r>
      <w:r w:rsidR="004E2F7A">
        <w:t xml:space="preserve"> to </w:t>
      </w:r>
      <w:r w:rsidR="004E3F72">
        <w:t xml:space="preserve">managing the site </w:t>
      </w:r>
      <w:r w:rsidR="007528EB">
        <w:t>after remediation, which could include</w:t>
      </w:r>
      <w:r w:rsidR="00863193">
        <w:t xml:space="preserve"> </w:t>
      </w:r>
      <w:r w:rsidR="000D72F5">
        <w:t xml:space="preserve">seeking </w:t>
      </w:r>
      <w:r w:rsidR="00863193">
        <w:t xml:space="preserve">input on decisions regarding </w:t>
      </w:r>
      <w:r w:rsidR="00152100">
        <w:t xml:space="preserve">such things as site </w:t>
      </w:r>
      <w:r w:rsidR="00902EC8">
        <w:t xml:space="preserve">monitoring, </w:t>
      </w:r>
      <w:r w:rsidR="002E2969">
        <w:t>health surveillance</w:t>
      </w:r>
      <w:r w:rsidR="007A51BF">
        <w:t xml:space="preserve">, </w:t>
      </w:r>
      <w:r w:rsidR="00FB1836">
        <w:t xml:space="preserve">and </w:t>
      </w:r>
      <w:r w:rsidR="007A51BF">
        <w:t>records management</w:t>
      </w:r>
      <w:r w:rsidR="00152100">
        <w:t>.</w:t>
      </w:r>
    </w:p>
    <w:p w14:paraId="50E2ED33" w14:textId="4C0CABCA" w:rsidR="004836C9" w:rsidRPr="00A03C1E" w:rsidRDefault="004836C9" w:rsidP="000771AC">
      <w:pPr>
        <w:pStyle w:val="ICRPnumberedparagraph"/>
        <w:numPr>
          <w:ilvl w:val="0"/>
          <w:numId w:val="13"/>
        </w:numPr>
        <w:tabs>
          <w:tab w:val="num" w:pos="630"/>
        </w:tabs>
        <w:ind w:left="0"/>
      </w:pPr>
      <w:r w:rsidRPr="00A03C1E">
        <w:t xml:space="preserve"> Even though the contaminated areas addressed in this publication are existing exposure situations, the Commission recommends that remediation workers should, in most circumstances, be considered and managed as occupationally exposed workers. Nevertheless, flexibility in the application of the Commission’s framework, </w:t>
      </w:r>
      <w:r w:rsidR="00CD62AC" w:rsidRPr="00A03C1E">
        <w:t>using</w:t>
      </w:r>
      <w:r w:rsidRPr="00A03C1E">
        <w:t xml:space="preserve"> adequate regulatory and practical tools to effectively achieve </w:t>
      </w:r>
      <w:r w:rsidR="008B4B3C">
        <w:t xml:space="preserve">the </w:t>
      </w:r>
      <w:r w:rsidRPr="00A03C1E">
        <w:t>protection of remediation workers, may be required.</w:t>
      </w:r>
    </w:p>
    <w:p w14:paraId="4A5C4685" w14:textId="2AC7BBED" w:rsidR="00A77DEB" w:rsidRDefault="004836C9" w:rsidP="000771AC">
      <w:pPr>
        <w:pStyle w:val="ICRPnumberedparagraph"/>
        <w:numPr>
          <w:ilvl w:val="0"/>
          <w:numId w:val="13"/>
        </w:numPr>
        <w:tabs>
          <w:tab w:val="num" w:pos="630"/>
        </w:tabs>
        <w:ind w:left="0"/>
      </w:pPr>
      <w:r w:rsidRPr="00A03C1E">
        <w:t xml:space="preserve">The </w:t>
      </w:r>
      <w:r w:rsidR="006A2401">
        <w:t xml:space="preserve">protective strategy and </w:t>
      </w:r>
      <w:r w:rsidRPr="00A03C1E">
        <w:t xml:space="preserve">remediation </w:t>
      </w:r>
      <w:r w:rsidR="006A2401">
        <w:t>plan</w:t>
      </w:r>
      <w:r w:rsidR="006A2401" w:rsidRPr="00A03C1E">
        <w:t xml:space="preserve"> </w:t>
      </w:r>
      <w:r w:rsidRPr="00A03C1E">
        <w:t xml:space="preserve">for any given contaminated area will be driven by the prevailing circumstances. </w:t>
      </w:r>
      <w:r w:rsidR="006A2401">
        <w:t>For example, s</w:t>
      </w:r>
      <w:r w:rsidR="006A2401" w:rsidRPr="00A03C1E">
        <w:t>maller</w:t>
      </w:r>
      <w:r w:rsidRPr="00A03C1E">
        <w:t>, well-characterised areas with easily removable contaminants will generally require less time and resources to achieve remediation than complex and large contaminated areas with multiple contaminants and elevated levels of radiation.</w:t>
      </w:r>
      <w:r w:rsidR="00647DF3">
        <w:t xml:space="preserve"> </w:t>
      </w:r>
      <w:r w:rsidR="00753939">
        <w:t xml:space="preserve">Furthermore, </w:t>
      </w:r>
      <w:r w:rsidR="006F0B35">
        <w:t xml:space="preserve">remedial actions </w:t>
      </w:r>
      <w:r w:rsidR="008D7B98">
        <w:t>can be taken to reduce either the magnitude of the dose</w:t>
      </w:r>
      <w:r w:rsidR="00342C61">
        <w:t xml:space="preserve"> to a representative person, </w:t>
      </w:r>
      <w:r w:rsidR="00816F21">
        <w:t xml:space="preserve">the potential for </w:t>
      </w:r>
      <w:r w:rsidR="00EA5C3C">
        <w:t xml:space="preserve">that </w:t>
      </w:r>
      <w:r w:rsidR="00816F21">
        <w:t>person receiving the dose</w:t>
      </w:r>
      <w:r w:rsidR="00D9727B">
        <w:t>, or both.</w:t>
      </w:r>
    </w:p>
    <w:p w14:paraId="5BC4730B" w14:textId="6B77C162" w:rsidR="004836C9" w:rsidRPr="00A03C1E" w:rsidRDefault="004836C9" w:rsidP="00B451DF">
      <w:pPr>
        <w:pStyle w:val="ICRPnumberedparagraph"/>
        <w:numPr>
          <w:ilvl w:val="0"/>
          <w:numId w:val="13"/>
        </w:numPr>
        <w:tabs>
          <w:tab w:val="num" w:pos="630"/>
        </w:tabs>
        <w:ind w:left="0"/>
      </w:pPr>
      <w:r w:rsidRPr="00A03C1E">
        <w:t xml:space="preserve"> </w:t>
      </w:r>
      <w:r w:rsidR="00EE66ED" w:rsidRPr="00EE66ED">
        <w:t>The reference level for public protection should be selected in the lower range of the 1 to 20 mSv per year dose band, with the objective</w:t>
      </w:r>
      <w:r w:rsidR="00B451DF">
        <w:t>,</w:t>
      </w:r>
      <w:r w:rsidR="00EE66ED" w:rsidRPr="00EE66ED">
        <w:t xml:space="preserve"> </w:t>
      </w:r>
      <w:proofErr w:type="gramStart"/>
      <w:r w:rsidR="00B451DF" w:rsidRPr="00B451DF">
        <w:t>taking into account</w:t>
      </w:r>
      <w:proofErr w:type="gramEnd"/>
      <w:r w:rsidR="00B451DF" w:rsidRPr="00B451DF">
        <w:t xml:space="preserve"> the prevailing circumstances</w:t>
      </w:r>
      <w:r w:rsidR="00B451DF">
        <w:t>,</w:t>
      </w:r>
      <w:r w:rsidR="00B451DF" w:rsidRPr="00EE66ED">
        <w:t xml:space="preserve"> </w:t>
      </w:r>
      <w:r w:rsidR="00EE66ED" w:rsidRPr="00EE66ED">
        <w:t xml:space="preserve">to progressively reduce exposure close to 1 mSv per </w:t>
      </w:r>
      <w:r w:rsidR="008A3D63" w:rsidRPr="00EE66ED">
        <w:t>year as</w:t>
      </w:r>
      <w:r w:rsidR="00EE66ED" w:rsidRPr="00EE66ED">
        <w:t xml:space="preserve"> the site situation</w:t>
      </w:r>
      <w:r w:rsidR="00EE66ED">
        <w:t xml:space="preserve"> improves.</w:t>
      </w:r>
      <w:r w:rsidR="003221F2" w:rsidRPr="003221F2">
        <w:t xml:space="preserve"> Optimisation of protection is an iterative process that is applied to both planning and implementing remediatio</w:t>
      </w:r>
      <w:r w:rsidR="003221F2">
        <w:t>n</w:t>
      </w:r>
      <w:r w:rsidR="00D62470">
        <w:t>.</w:t>
      </w:r>
      <w:r w:rsidR="003221F2">
        <w:t xml:space="preserve"> </w:t>
      </w:r>
    </w:p>
    <w:p w14:paraId="1A7E4258" w14:textId="25BED57B" w:rsidR="004836C9" w:rsidRPr="00A03C1E" w:rsidRDefault="008276F1" w:rsidP="00F73EE5">
      <w:pPr>
        <w:pStyle w:val="ICRPnumberedparagraph"/>
        <w:numPr>
          <w:ilvl w:val="0"/>
          <w:numId w:val="13"/>
        </w:numPr>
        <w:tabs>
          <w:tab w:val="num" w:pos="630"/>
        </w:tabs>
        <w:ind w:left="0" w:firstLine="284"/>
      </w:pPr>
      <w:r>
        <w:t>Radiological p</w:t>
      </w:r>
      <w:r w:rsidR="004836C9" w:rsidRPr="00A03C1E">
        <w:t xml:space="preserve">rotection of </w:t>
      </w:r>
      <w:r w:rsidR="006A2401">
        <w:t xml:space="preserve">the environment, including </w:t>
      </w:r>
      <w:r w:rsidR="004836C9" w:rsidRPr="00A03C1E">
        <w:t>non-human biota</w:t>
      </w:r>
      <w:r w:rsidR="006A2401">
        <w:t>,</w:t>
      </w:r>
      <w:r w:rsidR="004836C9" w:rsidRPr="00A03C1E">
        <w:t xml:space="preserve"> is part of the ICRP’s system of protection. When humans are present within or </w:t>
      </w:r>
      <w:r w:rsidR="004A6598" w:rsidRPr="00A03C1E">
        <w:t>near</w:t>
      </w:r>
      <w:r w:rsidR="004836C9" w:rsidRPr="00A03C1E">
        <w:t xml:space="preserve"> a contaminated area, the steps taken to protect members of the public will often provide an adequate level of protection for non-human biota. </w:t>
      </w:r>
      <w:r w:rsidR="001B371D" w:rsidRPr="00A03C1E">
        <w:t>Nevertheless, an assessment of potential harm to non-human biota and their habitat should be undertaken</w:t>
      </w:r>
      <w:r w:rsidR="006A2401">
        <w:t xml:space="preserve"> as part of </w:t>
      </w:r>
      <w:r w:rsidR="00F07F8B">
        <w:t xml:space="preserve">the </w:t>
      </w:r>
      <w:r w:rsidR="006A2401">
        <w:t>optimisation of protection</w:t>
      </w:r>
      <w:r w:rsidR="00302245">
        <w:t xml:space="preserve">. </w:t>
      </w:r>
      <w:r w:rsidR="00C73EB9">
        <w:t xml:space="preserve">This assessment will </w:t>
      </w:r>
      <w:r w:rsidR="001B371D" w:rsidRPr="00A03C1E">
        <w:t>support decisions on remediation</w:t>
      </w:r>
      <w:r w:rsidR="00C73EB9">
        <w:t xml:space="preserve"> that are </w:t>
      </w:r>
      <w:r w:rsidR="00736ED9" w:rsidRPr="00736ED9">
        <w:t>commensurate with the level of risk</w:t>
      </w:r>
      <w:r w:rsidR="00736ED9">
        <w:t>s</w:t>
      </w:r>
      <w:r w:rsidR="00141EF1">
        <w:t xml:space="preserve"> </w:t>
      </w:r>
      <w:r w:rsidR="001B371D" w:rsidRPr="00A03C1E">
        <w:t xml:space="preserve">based on application of the Commission’s recommendations on </w:t>
      </w:r>
      <w:r w:rsidR="00DD703D">
        <w:t xml:space="preserve">the </w:t>
      </w:r>
      <w:r w:rsidR="001B371D" w:rsidRPr="00A03C1E">
        <w:t>use of DCRLs</w:t>
      </w:r>
      <w:r w:rsidR="00AF43EC">
        <w:t>, which</w:t>
      </w:r>
      <w:r w:rsidR="001B371D" w:rsidRPr="00A03C1E">
        <w:t xml:space="preserve"> are meant to protect non-human </w:t>
      </w:r>
      <w:r w:rsidR="008034D2">
        <w:t>biota</w:t>
      </w:r>
      <w:r w:rsidR="001B371D" w:rsidRPr="00A03C1E">
        <w:t>. Consideration should also be given to the preservation of non-human biota habitat</w:t>
      </w:r>
      <w:r w:rsidR="00235CC2">
        <w:t>,</w:t>
      </w:r>
      <w:r w:rsidR="001B371D" w:rsidRPr="00A03C1E">
        <w:t xml:space="preserve"> cultural and heritage </w:t>
      </w:r>
      <w:proofErr w:type="gramStart"/>
      <w:r w:rsidR="008903DE">
        <w:t>aspects</w:t>
      </w:r>
      <w:proofErr w:type="gramEnd"/>
      <w:r w:rsidR="008903DE">
        <w:t xml:space="preserve"> </w:t>
      </w:r>
      <w:r w:rsidR="00235CC2">
        <w:t>and other factors, as relevant</w:t>
      </w:r>
      <w:r w:rsidR="001B371D" w:rsidRPr="00A03C1E">
        <w:t>.</w:t>
      </w:r>
    </w:p>
    <w:p w14:paraId="43A78618" w14:textId="5CE62D6D" w:rsidR="007C10C6" w:rsidRDefault="001B371D" w:rsidP="00511168">
      <w:pPr>
        <w:pStyle w:val="ICRPnumberedparagraph"/>
        <w:numPr>
          <w:ilvl w:val="0"/>
          <w:numId w:val="13"/>
        </w:numPr>
        <w:tabs>
          <w:tab w:val="num" w:pos="630"/>
        </w:tabs>
        <w:ind w:left="0"/>
      </w:pPr>
      <w:r w:rsidRPr="00A03C1E">
        <w:t>Waste management should be considered early in, and as part of, the decision-making process for remediation of contaminated areas</w:t>
      </w:r>
      <w:r w:rsidR="00C53D4E">
        <w:t>. T</w:t>
      </w:r>
      <w:r w:rsidR="00235CC2">
        <w:t xml:space="preserve">he remediation process should </w:t>
      </w:r>
      <w:r w:rsidRPr="00A03C1E">
        <w:t>be managed in a sustainable manner, in accordance with national policy</w:t>
      </w:r>
      <w:r w:rsidR="006A2418">
        <w:t xml:space="preserve">, </w:t>
      </w:r>
      <w:r w:rsidR="00235CC2">
        <w:t>strategy,</w:t>
      </w:r>
      <w:r w:rsidRPr="00A03C1E">
        <w:t xml:space="preserve"> and </w:t>
      </w:r>
      <w:r w:rsidR="00235CC2">
        <w:t xml:space="preserve">legal and </w:t>
      </w:r>
      <w:r w:rsidRPr="00A03C1E">
        <w:t>regulatory framework</w:t>
      </w:r>
      <w:r w:rsidR="000F4814">
        <w:t>s</w:t>
      </w:r>
      <w:r w:rsidRPr="00A03C1E">
        <w:t>. The amount</w:t>
      </w:r>
      <w:r w:rsidR="00235CC2">
        <w:t xml:space="preserve"> and</w:t>
      </w:r>
      <w:r w:rsidRPr="00A03C1E">
        <w:t xml:space="preserve"> nature</w:t>
      </w:r>
      <w:r w:rsidR="00235CC2">
        <w:t xml:space="preserve"> of </w:t>
      </w:r>
      <w:r w:rsidR="00235CC2" w:rsidRPr="00A03C1E">
        <w:t xml:space="preserve">radioactive, </w:t>
      </w:r>
      <w:r w:rsidR="00AA5E6E" w:rsidRPr="00A03C1E">
        <w:t>hazardous,</w:t>
      </w:r>
      <w:r w:rsidR="00235CC2" w:rsidRPr="00A03C1E">
        <w:t xml:space="preserve"> and other wastes generated during </w:t>
      </w:r>
      <w:r w:rsidR="00AA5E6E">
        <w:t xml:space="preserve">the </w:t>
      </w:r>
      <w:r w:rsidR="00235CC2" w:rsidRPr="00A03C1E">
        <w:t xml:space="preserve">remediation </w:t>
      </w:r>
      <w:r w:rsidR="00B70BAF" w:rsidRPr="00A03C1E">
        <w:t>of a contaminated area</w:t>
      </w:r>
      <w:r w:rsidRPr="00A03C1E">
        <w:t xml:space="preserve">, and </w:t>
      </w:r>
      <w:r w:rsidR="00AD5883">
        <w:t xml:space="preserve">their </w:t>
      </w:r>
      <w:r w:rsidR="00235CC2">
        <w:t xml:space="preserve">corresponding </w:t>
      </w:r>
      <w:r w:rsidRPr="00A03C1E">
        <w:t xml:space="preserve">disposal options must </w:t>
      </w:r>
      <w:r w:rsidRPr="00A03C1E">
        <w:lastRenderedPageBreak/>
        <w:t xml:space="preserve">be considered when making decisions about reference levels and </w:t>
      </w:r>
      <w:r w:rsidR="00B93540">
        <w:t xml:space="preserve">the </w:t>
      </w:r>
      <w:r w:rsidRPr="00A03C1E">
        <w:t xml:space="preserve">remediation </w:t>
      </w:r>
      <w:r w:rsidR="008A0B56">
        <w:t>strategy</w:t>
      </w:r>
      <w:r w:rsidRPr="00A03C1E">
        <w:t xml:space="preserve"> as part of a</w:t>
      </w:r>
      <w:r w:rsidR="009D766A">
        <w:t>n</w:t>
      </w:r>
      <w:r w:rsidR="00F0252D" w:rsidRPr="00A03C1E">
        <w:t xml:space="preserve"> </w:t>
      </w:r>
      <w:r w:rsidR="006244FE">
        <w:t xml:space="preserve">optimised, </w:t>
      </w:r>
      <w:r w:rsidR="00DE0690">
        <w:t>all hazards</w:t>
      </w:r>
      <w:r w:rsidR="00F0252D" w:rsidRPr="00A03C1E">
        <w:t>,</w:t>
      </w:r>
      <w:r w:rsidRPr="00A03C1E">
        <w:t xml:space="preserve"> integrated and graded approach.</w:t>
      </w:r>
    </w:p>
    <w:p w14:paraId="54F51A00" w14:textId="7D5BEC36" w:rsidR="00511168" w:rsidRPr="00511168" w:rsidRDefault="00511168" w:rsidP="00511168">
      <w:pPr>
        <w:pStyle w:val="ICRPnumberedparagraph"/>
        <w:numPr>
          <w:ilvl w:val="0"/>
          <w:numId w:val="0"/>
        </w:numPr>
      </w:pPr>
      <w:r>
        <w:br w:type="page"/>
      </w:r>
    </w:p>
    <w:p w14:paraId="29FC02EA" w14:textId="121D322D" w:rsidR="007C10C6" w:rsidRPr="00511168" w:rsidRDefault="00BC1FF3" w:rsidP="00511168">
      <w:pPr>
        <w:pStyle w:val="1"/>
        <w:spacing w:after="240"/>
        <w:jc w:val="center"/>
        <w:rPr>
          <w:rFonts w:ascii="Times New Roman" w:hAnsi="Times New Roman"/>
          <w:bCs/>
          <w:color w:val="000000" w:themeColor="text1"/>
        </w:rPr>
      </w:pPr>
      <w:bookmarkStart w:id="108" w:name="_Toc117873847"/>
      <w:bookmarkStart w:id="109" w:name="_Toc159397487"/>
      <w:bookmarkStart w:id="110" w:name="_Toc166586819"/>
      <w:r w:rsidRPr="00AF2A12">
        <w:rPr>
          <w:rFonts w:ascii="Times New Roman" w:hAnsi="Times New Roman"/>
          <w:bCs/>
          <w:color w:val="000000" w:themeColor="text1"/>
        </w:rPr>
        <w:lastRenderedPageBreak/>
        <w:t>REFERENCES</w:t>
      </w:r>
      <w:bookmarkEnd w:id="108"/>
      <w:bookmarkEnd w:id="109"/>
      <w:bookmarkEnd w:id="110"/>
    </w:p>
    <w:p w14:paraId="440883E1" w14:textId="3FF97415" w:rsidR="002F0E5B" w:rsidRPr="00FB7CF0" w:rsidRDefault="002F0E5B" w:rsidP="00684108">
      <w:pPr>
        <w:pStyle w:val="ICRPrefs"/>
      </w:pPr>
      <w:r w:rsidRPr="00FB7CF0">
        <w:t>A</w:t>
      </w:r>
      <w:r w:rsidR="006A66BA" w:rsidRPr="00FB7CF0">
        <w:t>lexakhin</w:t>
      </w:r>
      <w:r w:rsidRPr="00FB7CF0">
        <w:t>, R.M., 1993. Countermeasures in agricultural production as an effective means of mitigating the radiological consequences of the Chernobyl accident</w:t>
      </w:r>
      <w:r w:rsidR="003D1E3B" w:rsidRPr="00FB7CF0">
        <w:t>.</w:t>
      </w:r>
      <w:r w:rsidRPr="00FB7CF0">
        <w:t xml:space="preserve"> Sci. Total Environ. 137, 9–20.</w:t>
      </w:r>
    </w:p>
    <w:p w14:paraId="15B82369" w14:textId="13C7E4C7" w:rsidR="001B371D" w:rsidRDefault="001B371D" w:rsidP="00684108">
      <w:pPr>
        <w:pStyle w:val="ICRPrefs"/>
        <w:rPr>
          <w:rFonts w:eastAsiaTheme="minorEastAsia"/>
        </w:rPr>
      </w:pPr>
      <w:r w:rsidRPr="00FB7CF0">
        <w:t>BIOPROTA</w:t>
      </w:r>
      <w:r w:rsidR="007111DF" w:rsidRPr="00FB7CF0">
        <w:t>,</w:t>
      </w:r>
      <w:r w:rsidRPr="00FB7CF0">
        <w:t xml:space="preserve"> 2015. Scales for Post-closure Assessment Scenarios (SPACE)</w:t>
      </w:r>
      <w:r w:rsidR="00780AA2" w:rsidRPr="00FB7CF0">
        <w:t xml:space="preserve"> –</w:t>
      </w:r>
      <w:r w:rsidRPr="00FB7CF0">
        <w:t xml:space="preserve"> Addressing spatial and temporal scales for people and wildlife in long-term safety assessments. Norwegian Radiation Protection Authority</w:t>
      </w:r>
      <w:r w:rsidR="00780AA2" w:rsidRPr="00FB7CF0">
        <w:t>, Oslo</w:t>
      </w:r>
      <w:r w:rsidRPr="00FB7CF0">
        <w:t>.</w:t>
      </w:r>
    </w:p>
    <w:p w14:paraId="02FB1E57" w14:textId="2E2352D0" w:rsidR="00F666D5" w:rsidRPr="00FB7CF0" w:rsidRDefault="00F666D5" w:rsidP="00F666D5">
      <w:pPr>
        <w:pStyle w:val="ICRPrefs"/>
      </w:pPr>
      <w:r w:rsidRPr="00FB7CF0">
        <w:t xml:space="preserve">Brown, J.E., Alfonso, B., Avila, R., </w:t>
      </w:r>
      <w:r w:rsidR="008D4DB6">
        <w:rPr>
          <w:rFonts w:eastAsiaTheme="minorEastAsia" w:hint="eastAsia"/>
        </w:rPr>
        <w:t xml:space="preserve">et al., </w:t>
      </w:r>
      <w:r w:rsidRPr="00FB7CF0">
        <w:t>20</w:t>
      </w:r>
      <w:r w:rsidR="008D4DB6">
        <w:rPr>
          <w:rFonts w:eastAsiaTheme="minorEastAsia" w:hint="eastAsia"/>
        </w:rPr>
        <w:t>08</w:t>
      </w:r>
      <w:r w:rsidRPr="00FB7CF0">
        <w:t xml:space="preserve">. </w:t>
      </w:r>
      <w:r w:rsidR="008D4DB6">
        <w:rPr>
          <w:rFonts w:eastAsiaTheme="minorEastAsia" w:hint="eastAsia"/>
        </w:rPr>
        <w:t>The</w:t>
      </w:r>
      <w:r w:rsidRPr="00FB7CF0">
        <w:t xml:space="preserve"> ERICA </w:t>
      </w:r>
      <w:proofErr w:type="gramStart"/>
      <w:r w:rsidR="008D4DB6">
        <w:rPr>
          <w:rFonts w:eastAsiaTheme="minorEastAsia" w:hint="eastAsia"/>
        </w:rPr>
        <w:t>t</w:t>
      </w:r>
      <w:r w:rsidRPr="00FB7CF0">
        <w:t>ool</w:t>
      </w:r>
      <w:proofErr w:type="gramEnd"/>
      <w:r w:rsidR="008D4DB6">
        <w:rPr>
          <w:rFonts w:eastAsiaTheme="minorEastAsia" w:hint="eastAsia"/>
        </w:rPr>
        <w:t>.</w:t>
      </w:r>
      <w:r w:rsidRPr="00FB7CF0">
        <w:t xml:space="preserve"> J. Environ. Radioact. </w:t>
      </w:r>
      <w:r w:rsidR="008D4DB6">
        <w:rPr>
          <w:rFonts w:eastAsiaTheme="minorEastAsia" w:hint="eastAsia"/>
        </w:rPr>
        <w:t>99</w:t>
      </w:r>
      <w:r w:rsidRPr="00FB7CF0">
        <w:t>, 1</w:t>
      </w:r>
      <w:r w:rsidR="008D4DB6">
        <w:rPr>
          <w:rFonts w:eastAsiaTheme="minorEastAsia" w:hint="eastAsia"/>
        </w:rPr>
        <w:t>371</w:t>
      </w:r>
      <w:r w:rsidRPr="00FB7CF0">
        <w:t>–1</w:t>
      </w:r>
      <w:r w:rsidR="008D4DB6">
        <w:rPr>
          <w:rFonts w:eastAsiaTheme="minorEastAsia" w:hint="eastAsia"/>
        </w:rPr>
        <w:t>383</w:t>
      </w:r>
      <w:r w:rsidRPr="00FB7CF0">
        <w:t>.</w:t>
      </w:r>
    </w:p>
    <w:p w14:paraId="5433305C" w14:textId="4C7CBF83" w:rsidR="001B371D" w:rsidRPr="00FB7CF0" w:rsidRDefault="001B371D" w:rsidP="00684108">
      <w:pPr>
        <w:pStyle w:val="ICRPrefs"/>
      </w:pPr>
      <w:bookmarkStart w:id="111" w:name="_Hlk95639271"/>
      <w:r w:rsidRPr="00FB7CF0">
        <w:t xml:space="preserve">Brown, J.E., Alfonso, B., Avila, R., Beresford, N.A., </w:t>
      </w:r>
      <w:proofErr w:type="spellStart"/>
      <w:r w:rsidRPr="00FB7CF0">
        <w:t>Copplestone</w:t>
      </w:r>
      <w:proofErr w:type="spellEnd"/>
      <w:r w:rsidRPr="00FB7CF0">
        <w:t>, D., Hosseini, A.</w:t>
      </w:r>
      <w:r w:rsidR="007111DF" w:rsidRPr="00FB7CF0">
        <w:t>,</w:t>
      </w:r>
      <w:r w:rsidRPr="00FB7CF0">
        <w:t xml:space="preserve"> 2016</w:t>
      </w:r>
      <w:r w:rsidR="007111DF" w:rsidRPr="00FB7CF0">
        <w:t>.</w:t>
      </w:r>
      <w:r w:rsidRPr="00FB7CF0">
        <w:t xml:space="preserve"> A new version of the ERICA tool to facilitate impact assessments of radioactivity on wild plants and animals</w:t>
      </w:r>
      <w:r w:rsidR="003D1E3B" w:rsidRPr="00FB7CF0">
        <w:t>.</w:t>
      </w:r>
      <w:r w:rsidRPr="00FB7CF0">
        <w:t xml:space="preserve"> J. Environ. Radioact. 153, 141</w:t>
      </w:r>
      <w:r w:rsidR="007111DF" w:rsidRPr="00FB7CF0">
        <w:t>–</w:t>
      </w:r>
      <w:r w:rsidRPr="00FB7CF0">
        <w:t>148.</w:t>
      </w:r>
    </w:p>
    <w:bookmarkEnd w:id="111"/>
    <w:p w14:paraId="20E40881" w14:textId="2AEF6322" w:rsidR="00B00253" w:rsidRPr="00FB7CF0" w:rsidRDefault="00B00253" w:rsidP="00B00253">
      <w:pPr>
        <w:pStyle w:val="ICRPrefs"/>
      </w:pPr>
      <w:proofErr w:type="spellStart"/>
      <w:r w:rsidRPr="00FB7CF0">
        <w:t>Copplestone</w:t>
      </w:r>
      <w:proofErr w:type="spellEnd"/>
      <w:r w:rsidR="007111DF" w:rsidRPr="00FB7CF0">
        <w:t>,</w:t>
      </w:r>
      <w:r w:rsidRPr="00FB7CF0">
        <w:t xml:space="preserve"> D</w:t>
      </w:r>
      <w:r w:rsidR="007111DF" w:rsidRPr="00FB7CF0">
        <w:t>.</w:t>
      </w:r>
      <w:r w:rsidRPr="00FB7CF0">
        <w:t>, Hirth</w:t>
      </w:r>
      <w:r w:rsidR="007111DF" w:rsidRPr="00FB7CF0">
        <w:t>,</w:t>
      </w:r>
      <w:r w:rsidRPr="00FB7CF0">
        <w:t xml:space="preserve"> G</w:t>
      </w:r>
      <w:r w:rsidR="007111DF" w:rsidRPr="00FB7CF0">
        <w:t>.</w:t>
      </w:r>
      <w:r w:rsidRPr="00FB7CF0">
        <w:t>, Johansen</w:t>
      </w:r>
      <w:r w:rsidR="007111DF" w:rsidRPr="00FB7CF0">
        <w:t xml:space="preserve">, et al., </w:t>
      </w:r>
      <w:r w:rsidRPr="00FB7CF0">
        <w:t xml:space="preserve">2017. Implementation of the integrated approach in different types of exposure scenarios. </w:t>
      </w:r>
      <w:r w:rsidR="00E64351" w:rsidRPr="00FB7CF0">
        <w:t xml:space="preserve">Ann. ICRP 47(3/4), </w:t>
      </w:r>
      <w:r w:rsidR="000936CC" w:rsidRPr="00FB7CF0">
        <w:t>304–312</w:t>
      </w:r>
      <w:r w:rsidRPr="00FB7CF0">
        <w:t>.</w:t>
      </w:r>
    </w:p>
    <w:p w14:paraId="6726EF10" w14:textId="1C7AAB43" w:rsidR="001B371D" w:rsidRPr="00FB7CF0" w:rsidRDefault="001B371D" w:rsidP="00684108">
      <w:pPr>
        <w:pStyle w:val="ICRPrefs"/>
        <w:rPr>
          <w:rStyle w:val="af1"/>
          <w:color w:val="auto"/>
          <w:u w:val="none"/>
        </w:rPr>
      </w:pPr>
      <w:proofErr w:type="spellStart"/>
      <w:r w:rsidRPr="00FB7CF0">
        <w:t>Copplestone</w:t>
      </w:r>
      <w:proofErr w:type="spellEnd"/>
      <w:r w:rsidR="007111DF" w:rsidRPr="00FB7CF0">
        <w:t>,</w:t>
      </w:r>
      <w:r w:rsidRPr="00FB7CF0">
        <w:t xml:space="preserve"> D</w:t>
      </w:r>
      <w:r w:rsidR="007111DF" w:rsidRPr="00FB7CF0">
        <w:t>.</w:t>
      </w:r>
      <w:r w:rsidRPr="00FB7CF0">
        <w:t>, Hirth</w:t>
      </w:r>
      <w:r w:rsidR="007111DF" w:rsidRPr="00FB7CF0">
        <w:t>,</w:t>
      </w:r>
      <w:r w:rsidRPr="00FB7CF0">
        <w:t xml:space="preserve"> G</w:t>
      </w:r>
      <w:r w:rsidR="007111DF" w:rsidRPr="00FB7CF0">
        <w:t>.</w:t>
      </w:r>
      <w:r w:rsidRPr="00FB7CF0">
        <w:t>A</w:t>
      </w:r>
      <w:r w:rsidR="007111DF" w:rsidRPr="00FB7CF0">
        <w:t>.</w:t>
      </w:r>
      <w:r w:rsidRPr="00FB7CF0">
        <w:t>, Cresswell</w:t>
      </w:r>
      <w:r w:rsidR="007111DF" w:rsidRPr="00FB7CF0">
        <w:t>,</w:t>
      </w:r>
      <w:r w:rsidRPr="00FB7CF0">
        <w:t xml:space="preserve"> T</w:t>
      </w:r>
      <w:r w:rsidR="007111DF" w:rsidRPr="00FB7CF0">
        <w:t>.,</w:t>
      </w:r>
      <w:r w:rsidRPr="00FB7CF0">
        <w:t xml:space="preserve"> Johansen</w:t>
      </w:r>
      <w:r w:rsidR="007111DF" w:rsidRPr="00FB7CF0">
        <w:t>,</w:t>
      </w:r>
      <w:r w:rsidRPr="00FB7CF0">
        <w:t xml:space="preserve"> M</w:t>
      </w:r>
      <w:r w:rsidR="007111DF" w:rsidRPr="00FB7CF0">
        <w:t>.</w:t>
      </w:r>
      <w:r w:rsidRPr="00FB7CF0">
        <w:t>P</w:t>
      </w:r>
      <w:r w:rsidR="007111DF" w:rsidRPr="00FB7CF0">
        <w:t>.,</w:t>
      </w:r>
      <w:r w:rsidRPr="00FB7CF0">
        <w:t xml:space="preserve"> 2020</w:t>
      </w:r>
      <w:r w:rsidR="007111DF" w:rsidRPr="00FB7CF0">
        <w:t>.</w:t>
      </w:r>
      <w:r w:rsidRPr="00FB7CF0">
        <w:t xml:space="preserve"> Protection of the environment. </w:t>
      </w:r>
      <w:r w:rsidR="000936CC" w:rsidRPr="00FB7CF0">
        <w:t>Ann. ICRP 49(S1), 46–56</w:t>
      </w:r>
      <w:r w:rsidRPr="00FB7CF0">
        <w:t>.</w:t>
      </w:r>
    </w:p>
    <w:p w14:paraId="5BAE2D79" w14:textId="766B272F" w:rsidR="006A66BA" w:rsidRPr="00FB7CF0" w:rsidRDefault="001B371D" w:rsidP="00684108">
      <w:pPr>
        <w:pStyle w:val="ICRPrefs"/>
      </w:pPr>
      <w:r w:rsidRPr="00FB7CF0">
        <w:t>DSA</w:t>
      </w:r>
      <w:r w:rsidR="008E0D8C" w:rsidRPr="00FB7CF0">
        <w:t>,</w:t>
      </w:r>
      <w:r w:rsidRPr="00FB7CF0">
        <w:t xml:space="preserve"> 2020</w:t>
      </w:r>
      <w:r w:rsidR="008E0D8C" w:rsidRPr="00FB7CF0">
        <w:t>.</w:t>
      </w:r>
      <w:r w:rsidRPr="00FB7CF0">
        <w:t xml:space="preserve"> Regulatory framework of decommissioning, legacy </w:t>
      </w:r>
      <w:proofErr w:type="gramStart"/>
      <w:r w:rsidRPr="00FB7CF0">
        <w:t>sites</w:t>
      </w:r>
      <w:proofErr w:type="gramEnd"/>
      <w:r w:rsidRPr="00FB7CF0">
        <w:t xml:space="preserve"> and wastes from recognition to resolution: building optimization into the process</w:t>
      </w:r>
      <w:r w:rsidR="003D1E3B" w:rsidRPr="00FB7CF0">
        <w:t>.</w:t>
      </w:r>
      <w:r w:rsidRPr="00FB7CF0">
        <w:t xml:space="preserve"> Report of an </w:t>
      </w:r>
      <w:r w:rsidR="00A21498" w:rsidRPr="00FB7CF0">
        <w:t>i</w:t>
      </w:r>
      <w:r w:rsidRPr="00FB7CF0">
        <w:t xml:space="preserve">nternational </w:t>
      </w:r>
      <w:r w:rsidR="00A21498" w:rsidRPr="00FB7CF0">
        <w:t>w</w:t>
      </w:r>
      <w:r w:rsidRPr="00FB7CF0">
        <w:t xml:space="preserve">orkshop, Tromsø, </w:t>
      </w:r>
      <w:r w:rsidR="00A21498" w:rsidRPr="00FB7CF0">
        <w:t xml:space="preserve">29 October–1 </w:t>
      </w:r>
      <w:r w:rsidRPr="00FB7CF0">
        <w:t>November 2019</w:t>
      </w:r>
      <w:r w:rsidR="00A21498" w:rsidRPr="00FB7CF0">
        <w:t>.</w:t>
      </w:r>
      <w:r w:rsidRPr="00FB7CF0">
        <w:t xml:space="preserve"> </w:t>
      </w:r>
      <w:r w:rsidR="00A21498" w:rsidRPr="00FB7CF0">
        <w:t>Norwegian Radiation Protection Authority, Oslo. A</w:t>
      </w:r>
      <w:r w:rsidRPr="00FB7CF0">
        <w:t xml:space="preserve">vailable at: </w:t>
      </w:r>
      <w:r w:rsidR="00A21498" w:rsidRPr="00FB7CF0">
        <w:t>https://dsa.no/publikasjoner/dsa-rapport-5-2020-regulatory-framework-of-decommissioning-legacy-sites-and-wastes-from-recognition-to-resolution/DSA-rapport%2005-2020%20Regulatory%20Framework%20komplett.pdf (last accessed 19 February 2024).</w:t>
      </w:r>
      <w:r w:rsidR="006A66BA" w:rsidRPr="00FB7CF0">
        <w:t xml:space="preserve"> </w:t>
      </w:r>
    </w:p>
    <w:p w14:paraId="4413740B" w14:textId="32C71980" w:rsidR="00970941" w:rsidRPr="00FB7CF0" w:rsidRDefault="00970941" w:rsidP="00684108">
      <w:pPr>
        <w:pStyle w:val="ICRPrefs"/>
        <w:rPr>
          <w:lang w:val="fr-FR"/>
        </w:rPr>
      </w:pPr>
      <w:r w:rsidRPr="00FB7CF0">
        <w:t>F</w:t>
      </w:r>
      <w:r w:rsidR="006A66BA" w:rsidRPr="00FB7CF0">
        <w:t>esenko</w:t>
      </w:r>
      <w:r w:rsidRPr="00FB7CF0">
        <w:t xml:space="preserve">, S.V., </w:t>
      </w:r>
      <w:r w:rsidR="008E0D8C" w:rsidRPr="00FB7CF0">
        <w:t xml:space="preserve">Alexakhin, R.M., </w:t>
      </w:r>
      <w:proofErr w:type="spellStart"/>
      <w:r w:rsidR="008E0D8C" w:rsidRPr="00FB7CF0">
        <w:t>Balonov</w:t>
      </w:r>
      <w:proofErr w:type="spellEnd"/>
      <w:r w:rsidR="008E0D8C" w:rsidRPr="00FB7CF0">
        <w:t xml:space="preserve">, M.I., </w:t>
      </w:r>
      <w:r w:rsidRPr="00FB7CF0">
        <w:t>et al., 2007. An extended review of twenty years of countermeasures used in agriculture after the Chernobyl accident</w:t>
      </w:r>
      <w:r w:rsidR="008E0D8C" w:rsidRPr="00FB7CF0">
        <w:t>.</w:t>
      </w:r>
      <w:r w:rsidRPr="00FB7CF0">
        <w:t xml:space="preserve"> </w:t>
      </w:r>
      <w:r w:rsidRPr="00FB7CF0">
        <w:rPr>
          <w:lang w:val="fr-FR"/>
        </w:rPr>
        <w:t>Sci. Total Env</w:t>
      </w:r>
      <w:r w:rsidR="003D1E3B" w:rsidRPr="00FB7CF0">
        <w:rPr>
          <w:lang w:val="fr-FR"/>
        </w:rPr>
        <w:t>iron</w:t>
      </w:r>
      <w:r w:rsidRPr="00FB7CF0">
        <w:rPr>
          <w:lang w:val="fr-FR"/>
        </w:rPr>
        <w:t>. 383, 1–24.</w:t>
      </w:r>
    </w:p>
    <w:p w14:paraId="395791DA" w14:textId="3729C33E" w:rsidR="001B371D" w:rsidRPr="00FB7CF0" w:rsidRDefault="001B371D" w:rsidP="00684108">
      <w:pPr>
        <w:pStyle w:val="ICRPrefs"/>
      </w:pPr>
      <w:r w:rsidRPr="00FB7CF0">
        <w:rPr>
          <w:lang w:val="fr-FR"/>
        </w:rPr>
        <w:t>Griffault</w:t>
      </w:r>
      <w:r w:rsidR="00BA0CE4" w:rsidRPr="00FB7CF0">
        <w:rPr>
          <w:lang w:val="fr-FR"/>
        </w:rPr>
        <w:t>,</w:t>
      </w:r>
      <w:r w:rsidRPr="00FB7CF0">
        <w:rPr>
          <w:lang w:val="fr-FR"/>
        </w:rPr>
        <w:t xml:space="preserve"> L</w:t>
      </w:r>
      <w:r w:rsidR="00BA0CE4" w:rsidRPr="00FB7CF0">
        <w:rPr>
          <w:lang w:val="fr-FR"/>
        </w:rPr>
        <w:t>.</w:t>
      </w:r>
      <w:r w:rsidRPr="00FB7CF0">
        <w:rPr>
          <w:lang w:val="fr-FR"/>
        </w:rPr>
        <w:t>, Aubonnet</w:t>
      </w:r>
      <w:r w:rsidR="00BA0CE4" w:rsidRPr="00FB7CF0">
        <w:rPr>
          <w:lang w:val="fr-FR"/>
        </w:rPr>
        <w:t>,</w:t>
      </w:r>
      <w:r w:rsidRPr="00FB7CF0">
        <w:rPr>
          <w:lang w:val="fr-FR"/>
        </w:rPr>
        <w:t xml:space="preserve"> E</w:t>
      </w:r>
      <w:r w:rsidR="00BA0CE4" w:rsidRPr="00FB7CF0">
        <w:rPr>
          <w:lang w:val="fr-FR"/>
        </w:rPr>
        <w:t>.</w:t>
      </w:r>
      <w:r w:rsidRPr="00FB7CF0">
        <w:rPr>
          <w:lang w:val="fr-FR"/>
        </w:rPr>
        <w:t>, Brown</w:t>
      </w:r>
      <w:r w:rsidR="00BA0CE4" w:rsidRPr="00FB7CF0">
        <w:rPr>
          <w:lang w:val="fr-FR"/>
        </w:rPr>
        <w:t>,</w:t>
      </w:r>
      <w:r w:rsidRPr="00FB7CF0">
        <w:rPr>
          <w:lang w:val="fr-FR"/>
        </w:rPr>
        <w:t xml:space="preserve"> J</w:t>
      </w:r>
      <w:r w:rsidR="00BA0CE4" w:rsidRPr="00FB7CF0">
        <w:rPr>
          <w:lang w:val="fr-FR"/>
        </w:rPr>
        <w:t>.</w:t>
      </w:r>
      <w:r w:rsidRPr="00FB7CF0">
        <w:rPr>
          <w:lang w:val="fr-FR"/>
        </w:rPr>
        <w:t xml:space="preserve">, </w:t>
      </w:r>
      <w:r w:rsidR="00BA0CE4" w:rsidRPr="00FB7CF0">
        <w:rPr>
          <w:lang w:val="fr-FR"/>
        </w:rPr>
        <w:t xml:space="preserve">et al., </w:t>
      </w:r>
      <w:r w:rsidR="00817327" w:rsidRPr="00FB7CF0">
        <w:rPr>
          <w:lang w:val="fr-FR"/>
        </w:rPr>
        <w:t>2022</w:t>
      </w:r>
      <w:r w:rsidRPr="00FB7CF0">
        <w:rPr>
          <w:lang w:val="fr-FR"/>
        </w:rPr>
        <w:t xml:space="preserve">. </w:t>
      </w:r>
      <w:r w:rsidRPr="00FB7CF0">
        <w:t xml:space="preserve">Approaches to the definition of potentially exposed groups and potentially exposed populations of biota in the context of solid radioactive waste. </w:t>
      </w:r>
      <w:r w:rsidR="00817327" w:rsidRPr="00FB7CF0">
        <w:t xml:space="preserve"> </w:t>
      </w:r>
      <w:r w:rsidR="00BA0CE4" w:rsidRPr="00FB7CF0">
        <w:t xml:space="preserve">J. Radiol. Prot. </w:t>
      </w:r>
      <w:r w:rsidR="00817327" w:rsidRPr="00FB7CF0">
        <w:t>42</w:t>
      </w:r>
      <w:r w:rsidR="00BA0CE4" w:rsidRPr="00FB7CF0">
        <w:t>,</w:t>
      </w:r>
      <w:r w:rsidR="00817327" w:rsidRPr="00FB7CF0">
        <w:t xml:space="preserve"> 020515.</w:t>
      </w:r>
    </w:p>
    <w:p w14:paraId="183FE824" w14:textId="512C363C" w:rsidR="00970941" w:rsidRDefault="00970941" w:rsidP="00684108">
      <w:pPr>
        <w:pStyle w:val="ICRPrefs"/>
        <w:rPr>
          <w:rFonts w:eastAsiaTheme="minorEastAsia"/>
        </w:rPr>
      </w:pPr>
      <w:r w:rsidRPr="00FB7CF0">
        <w:t>IAEA</w:t>
      </w:r>
      <w:r w:rsidR="00C53059" w:rsidRPr="00FB7CF0">
        <w:t>,</w:t>
      </w:r>
      <w:r w:rsidRPr="00FB7CF0">
        <w:t xml:space="preserve"> 2006. Environmental Consequences of the Chernobyl Accident and their Remediation: Twenty Years of Experience</w:t>
      </w:r>
      <w:r w:rsidR="00C53059" w:rsidRPr="00FB7CF0">
        <w:t>.</w:t>
      </w:r>
      <w:r w:rsidRPr="00FB7CF0">
        <w:t xml:space="preserve"> Radiological Assessment Reports Series</w:t>
      </w:r>
      <w:r w:rsidR="00C53059" w:rsidRPr="00FB7CF0">
        <w:t xml:space="preserve"> No. 8.</w:t>
      </w:r>
      <w:r w:rsidRPr="00FB7CF0">
        <w:t xml:space="preserve"> </w:t>
      </w:r>
      <w:r w:rsidR="00C53059" w:rsidRPr="00FB7CF0">
        <w:t>International Atomic Energy Agency</w:t>
      </w:r>
      <w:r w:rsidRPr="00FB7CF0">
        <w:t>, Vienna.</w:t>
      </w:r>
    </w:p>
    <w:p w14:paraId="0D9D2987" w14:textId="71742424" w:rsidR="00F666D5" w:rsidRPr="00F666D5" w:rsidRDefault="00F666D5" w:rsidP="00F666D5">
      <w:pPr>
        <w:pStyle w:val="ICRPrefs"/>
        <w:rPr>
          <w:rFonts w:eastAsiaTheme="minorEastAsia"/>
        </w:rPr>
      </w:pPr>
      <w:r w:rsidRPr="00FB7CF0">
        <w:t>IAEA, 200</w:t>
      </w:r>
      <w:r>
        <w:rPr>
          <w:rFonts w:eastAsiaTheme="minorEastAsia" w:hint="eastAsia"/>
        </w:rPr>
        <w:t>9</w:t>
      </w:r>
      <w:r w:rsidRPr="00FB7CF0">
        <w:t xml:space="preserve">. </w:t>
      </w:r>
      <w:r>
        <w:t>Classification of</w:t>
      </w:r>
      <w:r>
        <w:rPr>
          <w:rFonts w:eastAsiaTheme="minorEastAsia" w:hint="eastAsia"/>
        </w:rPr>
        <w:t xml:space="preserve"> </w:t>
      </w:r>
      <w:r>
        <w:t>Radioactive Waste</w:t>
      </w:r>
      <w:r>
        <w:rPr>
          <w:rFonts w:eastAsiaTheme="minorEastAsia" w:hint="eastAsia"/>
        </w:rPr>
        <w:t xml:space="preserve">. </w:t>
      </w:r>
      <w:r w:rsidRPr="00F666D5">
        <w:rPr>
          <w:rFonts w:eastAsiaTheme="minorEastAsia"/>
        </w:rPr>
        <w:t xml:space="preserve">IAEA Safety Standards Series No. </w:t>
      </w:r>
      <w:r>
        <w:rPr>
          <w:rFonts w:eastAsiaTheme="minorEastAsia" w:hint="eastAsia"/>
        </w:rPr>
        <w:t>GSG-1.</w:t>
      </w:r>
      <w:r w:rsidRPr="00FB7CF0">
        <w:t xml:space="preserve"> International Atomic Energy Agency, Vienna.</w:t>
      </w:r>
    </w:p>
    <w:p w14:paraId="66B96E30" w14:textId="58AFBA96" w:rsidR="00970941" w:rsidRPr="00FB7CF0" w:rsidRDefault="00970941" w:rsidP="00684108">
      <w:pPr>
        <w:pStyle w:val="ICRPrefs"/>
      </w:pPr>
      <w:r w:rsidRPr="00FB7CF0">
        <w:t>IAEA</w:t>
      </w:r>
      <w:r w:rsidR="00C53059" w:rsidRPr="00FB7CF0">
        <w:t>,</w:t>
      </w:r>
      <w:r w:rsidRPr="00FB7CF0">
        <w:t xml:space="preserve"> 2012. Guidelines for Remediation Strategies to Reduce the Radiological Consequences of Environmental Contamination</w:t>
      </w:r>
      <w:r w:rsidR="00C53059" w:rsidRPr="00FB7CF0">
        <w:t>.</w:t>
      </w:r>
      <w:r w:rsidRPr="00FB7CF0">
        <w:t xml:space="preserve"> Technical Reports Series No. 475</w:t>
      </w:r>
      <w:r w:rsidR="00C53059" w:rsidRPr="00FB7CF0">
        <w:t>.</w:t>
      </w:r>
      <w:r w:rsidRPr="00FB7CF0">
        <w:t xml:space="preserve"> </w:t>
      </w:r>
      <w:r w:rsidR="00C53059" w:rsidRPr="00FB7CF0">
        <w:t>International Atomic Energy Agency</w:t>
      </w:r>
      <w:r w:rsidRPr="00FB7CF0">
        <w:t>, Vienna.</w:t>
      </w:r>
    </w:p>
    <w:p w14:paraId="72C521B8" w14:textId="6746994E" w:rsidR="0041446F" w:rsidRPr="00FB7CF0" w:rsidRDefault="0041446F" w:rsidP="00684108">
      <w:pPr>
        <w:pStyle w:val="ICRPrefs"/>
      </w:pPr>
      <w:r w:rsidRPr="00FB7CF0">
        <w:t>IAEA</w:t>
      </w:r>
      <w:r w:rsidR="00C53059" w:rsidRPr="00FB7CF0">
        <w:t>,</w:t>
      </w:r>
      <w:r w:rsidRPr="00FB7CF0">
        <w:t xml:space="preserve"> 2016. Leadership and Management for Safety</w:t>
      </w:r>
      <w:r w:rsidR="00C53059" w:rsidRPr="00FB7CF0">
        <w:t>.</w:t>
      </w:r>
      <w:r w:rsidRPr="00FB7CF0">
        <w:t xml:space="preserve"> IAEA </w:t>
      </w:r>
      <w:r w:rsidR="00381120" w:rsidRPr="00FB7CF0">
        <w:t xml:space="preserve">Safety Standards Series No. </w:t>
      </w:r>
      <w:r w:rsidRPr="00FB7CF0">
        <w:t>GSR Part 2</w:t>
      </w:r>
      <w:r w:rsidR="00C53059" w:rsidRPr="00FB7CF0">
        <w:t>.</w:t>
      </w:r>
      <w:r w:rsidRPr="00FB7CF0">
        <w:t xml:space="preserve"> </w:t>
      </w:r>
      <w:r w:rsidR="00C53059" w:rsidRPr="00FB7CF0">
        <w:t>International Atomic Energy Agency,</w:t>
      </w:r>
      <w:r w:rsidRPr="00FB7CF0">
        <w:t xml:space="preserve"> Vienna.</w:t>
      </w:r>
    </w:p>
    <w:p w14:paraId="04CCDD6D" w14:textId="29A5CEC6" w:rsidR="00D33D49" w:rsidRPr="00FB7CF0" w:rsidRDefault="00D33D49" w:rsidP="00D33D49">
      <w:pPr>
        <w:pStyle w:val="ICRPrefs"/>
      </w:pPr>
      <w:r w:rsidRPr="00FB7CF0">
        <w:t>IAEA</w:t>
      </w:r>
      <w:r w:rsidR="00C53059" w:rsidRPr="00FB7CF0">
        <w:t>,</w:t>
      </w:r>
      <w:r w:rsidRPr="00FB7CF0">
        <w:t xml:space="preserve"> 2021</w:t>
      </w:r>
      <w:r w:rsidR="00C53059" w:rsidRPr="00FB7CF0">
        <w:t>.</w:t>
      </w:r>
      <w:r w:rsidRPr="00FB7CF0">
        <w:t xml:space="preserve"> Management of Residues Containing Naturally Occurring Radioactive Material from Uranium Production and Other Activities</w:t>
      </w:r>
      <w:r w:rsidR="00C53059" w:rsidRPr="00FB7CF0">
        <w:t>.</w:t>
      </w:r>
      <w:r w:rsidRPr="00FB7CF0">
        <w:t xml:space="preserve"> IAEA Specific Safety Guide No. SSG-60</w:t>
      </w:r>
      <w:r w:rsidR="00C53059" w:rsidRPr="00FB7CF0">
        <w:t>.</w:t>
      </w:r>
      <w:r w:rsidR="00711F0E" w:rsidRPr="00FB7CF0">
        <w:t xml:space="preserve"> </w:t>
      </w:r>
      <w:r w:rsidR="00C53059" w:rsidRPr="00FB7CF0">
        <w:t>International Atomic Energy Agency</w:t>
      </w:r>
      <w:r w:rsidR="00711F0E" w:rsidRPr="00FB7CF0">
        <w:t>, Vienna.</w:t>
      </w:r>
    </w:p>
    <w:p w14:paraId="0FAB7A78" w14:textId="150DE739" w:rsidR="00FD08CB" w:rsidRPr="00FB7CF0" w:rsidRDefault="00FD08CB" w:rsidP="00684108">
      <w:pPr>
        <w:pStyle w:val="ICRPrefs"/>
      </w:pPr>
      <w:r w:rsidRPr="00FB7CF0">
        <w:t>IAEA</w:t>
      </w:r>
      <w:r w:rsidR="00C53059" w:rsidRPr="00FB7CF0">
        <w:t>,</w:t>
      </w:r>
      <w:r w:rsidRPr="00FB7CF0">
        <w:t xml:space="preserve"> 2022. Remediation Strategy and Process for Areas Affected by Past Activities or Events</w:t>
      </w:r>
      <w:r w:rsidR="00C53059" w:rsidRPr="00FB7CF0">
        <w:t>.</w:t>
      </w:r>
      <w:r w:rsidRPr="00FB7CF0">
        <w:t xml:space="preserve"> IAEA </w:t>
      </w:r>
      <w:r w:rsidR="00C53059" w:rsidRPr="00FB7CF0">
        <w:t xml:space="preserve">Safety Standards Series </w:t>
      </w:r>
      <w:r w:rsidRPr="00FB7CF0">
        <w:t>GSG-15</w:t>
      </w:r>
      <w:r w:rsidR="00C53059" w:rsidRPr="00FB7CF0">
        <w:t>.</w:t>
      </w:r>
      <w:r w:rsidRPr="00FB7CF0">
        <w:t xml:space="preserve"> </w:t>
      </w:r>
      <w:r w:rsidR="00C53059" w:rsidRPr="00FB7CF0">
        <w:t>International Atomic Energy Agency</w:t>
      </w:r>
      <w:r w:rsidRPr="00FB7CF0">
        <w:t>, Vienna.</w:t>
      </w:r>
    </w:p>
    <w:p w14:paraId="68A7DAE8" w14:textId="49AA3E59" w:rsidR="00220C94" w:rsidRPr="00FB7CF0" w:rsidRDefault="00220C94" w:rsidP="00220C94">
      <w:pPr>
        <w:pStyle w:val="ICRPrefs"/>
      </w:pPr>
      <w:r w:rsidRPr="00FB7CF0">
        <w:t xml:space="preserve">IAEA 2023. Determination of environmental remediation end states. Nuclear Energy Series No. NW-G-3.2, IAEA, Vienna </w:t>
      </w:r>
    </w:p>
    <w:p w14:paraId="4086135A" w14:textId="3EFE9007" w:rsidR="001B371D" w:rsidRDefault="001B371D" w:rsidP="00684108">
      <w:pPr>
        <w:pStyle w:val="ICRPrefs"/>
        <w:rPr>
          <w:rFonts w:eastAsiaTheme="minorEastAsia"/>
        </w:rPr>
      </w:pPr>
      <w:r w:rsidRPr="00FB7CF0">
        <w:t>ICRP, 1983. Cost–benefit analysis in the optimisation of radiological protection. ICRP Publication 37</w:t>
      </w:r>
      <w:r w:rsidR="001B2AB1" w:rsidRPr="00FB7CF0">
        <w:t>.</w:t>
      </w:r>
      <w:r w:rsidRPr="00FB7CF0">
        <w:t xml:space="preserve"> Ann. ICRP 10(2</w:t>
      </w:r>
      <w:r w:rsidR="009E40FF" w:rsidRPr="00FB7CF0">
        <w:t>–</w:t>
      </w:r>
      <w:r w:rsidRPr="00FB7CF0">
        <w:t>3).</w:t>
      </w:r>
    </w:p>
    <w:p w14:paraId="595711F8" w14:textId="34B8C947" w:rsidR="008D4DB6" w:rsidRDefault="008D4DB6" w:rsidP="008D4DB6">
      <w:pPr>
        <w:pStyle w:val="ICRPrefs"/>
        <w:rPr>
          <w:rFonts w:eastAsiaTheme="minorEastAsia"/>
        </w:rPr>
      </w:pPr>
      <w:r w:rsidRPr="00FB7CF0">
        <w:t>ICRP, 19</w:t>
      </w:r>
      <w:r>
        <w:rPr>
          <w:rFonts w:eastAsiaTheme="minorEastAsia" w:hint="eastAsia"/>
        </w:rPr>
        <w:t>90</w:t>
      </w:r>
      <w:r w:rsidRPr="00FB7CF0">
        <w:t xml:space="preserve">. </w:t>
      </w:r>
      <w:r w:rsidRPr="008D4DB6">
        <w:t xml:space="preserve">Optimization and </w:t>
      </w:r>
      <w:r w:rsidR="002425FA">
        <w:rPr>
          <w:rFonts w:eastAsiaTheme="minorEastAsia" w:hint="eastAsia"/>
        </w:rPr>
        <w:t>de</w:t>
      </w:r>
      <w:r w:rsidRPr="008D4DB6">
        <w:t xml:space="preserve">cision </w:t>
      </w:r>
      <w:r w:rsidR="002425FA">
        <w:rPr>
          <w:rFonts w:eastAsiaTheme="minorEastAsia" w:hint="eastAsia"/>
        </w:rPr>
        <w:t>m</w:t>
      </w:r>
      <w:r w:rsidRPr="008D4DB6">
        <w:t xml:space="preserve">aking in </w:t>
      </w:r>
      <w:r w:rsidR="002425FA">
        <w:rPr>
          <w:rFonts w:eastAsiaTheme="minorEastAsia" w:hint="eastAsia"/>
        </w:rPr>
        <w:t>r</w:t>
      </w:r>
      <w:r w:rsidRPr="008D4DB6">
        <w:t xml:space="preserve">adiological </w:t>
      </w:r>
      <w:r w:rsidR="002425FA">
        <w:rPr>
          <w:rFonts w:eastAsiaTheme="minorEastAsia" w:hint="eastAsia"/>
        </w:rPr>
        <w:t>p</w:t>
      </w:r>
      <w:r w:rsidRPr="008D4DB6">
        <w:t>rotection</w:t>
      </w:r>
      <w:r w:rsidRPr="00FB7CF0">
        <w:t xml:space="preserve">. ICRP Publication </w:t>
      </w:r>
      <w:r>
        <w:rPr>
          <w:rFonts w:eastAsiaTheme="minorEastAsia" w:hint="eastAsia"/>
        </w:rPr>
        <w:t>55</w:t>
      </w:r>
      <w:r w:rsidRPr="00FB7CF0">
        <w:t xml:space="preserve">. Ann. ICRP </w:t>
      </w:r>
      <w:r>
        <w:rPr>
          <w:rFonts w:eastAsiaTheme="minorEastAsia" w:hint="eastAsia"/>
        </w:rPr>
        <w:t>20</w:t>
      </w:r>
      <w:r w:rsidRPr="00FB7CF0">
        <w:t>(</w:t>
      </w:r>
      <w:r>
        <w:rPr>
          <w:rFonts w:eastAsiaTheme="minorEastAsia" w:hint="eastAsia"/>
        </w:rPr>
        <w:t>1</w:t>
      </w:r>
      <w:r w:rsidRPr="00FB7CF0">
        <w:t>).</w:t>
      </w:r>
    </w:p>
    <w:p w14:paraId="72A141A7" w14:textId="77777777" w:rsidR="001B371D" w:rsidRPr="00FB7CF0" w:rsidRDefault="001B371D" w:rsidP="00684108">
      <w:pPr>
        <w:pStyle w:val="ICRPrefs"/>
      </w:pPr>
      <w:r w:rsidRPr="00FB7CF0">
        <w:t>ICRP, 1991. 1990 Recommendations of the International Commission on Radiological</w:t>
      </w:r>
      <w:r w:rsidR="00684108" w:rsidRPr="00FB7CF0">
        <w:t xml:space="preserve"> </w:t>
      </w:r>
      <w:r w:rsidRPr="00FB7CF0">
        <w:t>Protection. ICRP Publication 60. Ann. ICRP 21(1</w:t>
      </w:r>
      <w:bookmarkStart w:id="112" w:name="_Hlk117864130"/>
      <w:r w:rsidRPr="00FB7CF0">
        <w:t>–</w:t>
      </w:r>
      <w:bookmarkEnd w:id="112"/>
      <w:r w:rsidRPr="00FB7CF0">
        <w:t>3).</w:t>
      </w:r>
    </w:p>
    <w:p w14:paraId="2F609B54" w14:textId="77777777" w:rsidR="001B371D" w:rsidRDefault="001B371D" w:rsidP="009E40FF">
      <w:pPr>
        <w:pStyle w:val="ICRPrefs"/>
        <w:rPr>
          <w:rFonts w:eastAsiaTheme="minorEastAsia"/>
        </w:rPr>
      </w:pPr>
      <w:r w:rsidRPr="00FB7CF0">
        <w:t>ICRP, 1999. Protection of the public in situations of prolonged radiation exposure. ICRP</w:t>
      </w:r>
      <w:r w:rsidR="009E40FF" w:rsidRPr="00FB7CF0">
        <w:t xml:space="preserve"> </w:t>
      </w:r>
      <w:r w:rsidRPr="00FB7CF0">
        <w:t>Publication 82. Ann. ICRP 29(1</w:t>
      </w:r>
      <w:r w:rsidR="009E40FF" w:rsidRPr="00FB7CF0">
        <w:t>–</w:t>
      </w:r>
      <w:r w:rsidRPr="00FB7CF0">
        <w:t>2).</w:t>
      </w:r>
    </w:p>
    <w:p w14:paraId="20CE2E7B" w14:textId="3B496D4C" w:rsidR="002425FA" w:rsidRPr="002425FA" w:rsidRDefault="002425FA" w:rsidP="002425FA">
      <w:pPr>
        <w:pStyle w:val="ICRPrefs"/>
        <w:rPr>
          <w:rFonts w:eastAsiaTheme="minorEastAsia"/>
        </w:rPr>
      </w:pPr>
      <w:r w:rsidRPr="00FB7CF0">
        <w:t>ICRP, 200</w:t>
      </w:r>
      <w:r>
        <w:rPr>
          <w:rFonts w:eastAsiaTheme="minorEastAsia" w:hint="eastAsia"/>
        </w:rPr>
        <w:t>3</w:t>
      </w:r>
      <w:r w:rsidRPr="00FB7CF0">
        <w:t xml:space="preserve">. </w:t>
      </w:r>
      <w:r w:rsidRPr="002425FA">
        <w:t xml:space="preserve">A </w:t>
      </w:r>
      <w:r>
        <w:rPr>
          <w:rFonts w:eastAsiaTheme="minorEastAsia" w:hint="eastAsia"/>
        </w:rPr>
        <w:t>f</w:t>
      </w:r>
      <w:r w:rsidRPr="002425FA">
        <w:t xml:space="preserve">ramework for </w:t>
      </w:r>
      <w:r>
        <w:rPr>
          <w:rFonts w:eastAsiaTheme="minorEastAsia" w:hint="eastAsia"/>
        </w:rPr>
        <w:t>a</w:t>
      </w:r>
      <w:r w:rsidRPr="002425FA">
        <w:t xml:space="preserve">ssessing the </w:t>
      </w:r>
      <w:r>
        <w:rPr>
          <w:rFonts w:eastAsiaTheme="minorEastAsia" w:hint="eastAsia"/>
        </w:rPr>
        <w:t>i</w:t>
      </w:r>
      <w:r w:rsidRPr="002425FA">
        <w:t xml:space="preserve">mpact of </w:t>
      </w:r>
      <w:r>
        <w:rPr>
          <w:rFonts w:eastAsiaTheme="minorEastAsia" w:hint="eastAsia"/>
        </w:rPr>
        <w:t>i</w:t>
      </w:r>
      <w:r w:rsidRPr="002425FA">
        <w:t xml:space="preserve">onising </w:t>
      </w:r>
      <w:r>
        <w:rPr>
          <w:rFonts w:eastAsiaTheme="minorEastAsia" w:hint="eastAsia"/>
        </w:rPr>
        <w:t>r</w:t>
      </w:r>
      <w:r w:rsidRPr="002425FA">
        <w:t xml:space="preserve">adiation on </w:t>
      </w:r>
      <w:r>
        <w:rPr>
          <w:rFonts w:eastAsiaTheme="minorEastAsia" w:hint="eastAsia"/>
        </w:rPr>
        <w:t>n</w:t>
      </w:r>
      <w:r w:rsidRPr="002425FA">
        <w:t xml:space="preserve">on-human </w:t>
      </w:r>
      <w:r>
        <w:rPr>
          <w:rFonts w:eastAsiaTheme="minorEastAsia" w:hint="eastAsia"/>
        </w:rPr>
        <w:t>s</w:t>
      </w:r>
      <w:r w:rsidRPr="002425FA">
        <w:t>pecies</w:t>
      </w:r>
      <w:r w:rsidRPr="00FB7CF0">
        <w:t xml:space="preserve">. ICRP Publication </w:t>
      </w:r>
      <w:r>
        <w:rPr>
          <w:rFonts w:eastAsiaTheme="minorEastAsia" w:hint="eastAsia"/>
        </w:rPr>
        <w:t>91</w:t>
      </w:r>
      <w:r w:rsidRPr="00FB7CF0">
        <w:t>. Ann. ICRP 3</w:t>
      </w:r>
      <w:r>
        <w:rPr>
          <w:rFonts w:eastAsiaTheme="minorEastAsia" w:hint="eastAsia"/>
        </w:rPr>
        <w:t>3</w:t>
      </w:r>
      <w:r w:rsidRPr="00FB7CF0">
        <w:t>(3).</w:t>
      </w:r>
    </w:p>
    <w:p w14:paraId="2833C281" w14:textId="46E840CC" w:rsidR="008A0B56" w:rsidRPr="00FB7CF0" w:rsidRDefault="008A0B56" w:rsidP="009E40FF">
      <w:pPr>
        <w:pStyle w:val="ICRPrefs"/>
      </w:pPr>
      <w:r w:rsidRPr="00FB7CF0">
        <w:lastRenderedPageBreak/>
        <w:t>ICRP, 2006a. Assessing dose of the representative person for the purpose of radiation protection of the public. ICRP Publication 101</w:t>
      </w:r>
      <w:r w:rsidR="0068685D" w:rsidRPr="00FB7CF0">
        <w:t>a</w:t>
      </w:r>
      <w:r w:rsidRPr="00FB7CF0">
        <w:t>. Ann. ICRP 36(3).</w:t>
      </w:r>
    </w:p>
    <w:p w14:paraId="64B9924C" w14:textId="570AAD4C" w:rsidR="001B371D" w:rsidRPr="00FB7CF0" w:rsidRDefault="001B371D" w:rsidP="009E40FF">
      <w:pPr>
        <w:pStyle w:val="ICRPrefs"/>
      </w:pPr>
      <w:r w:rsidRPr="00FB7CF0">
        <w:t>ICRP, 2006</w:t>
      </w:r>
      <w:r w:rsidR="008A0B56" w:rsidRPr="00FB7CF0">
        <w:t>b</w:t>
      </w:r>
      <w:r w:rsidRPr="00FB7CF0">
        <w:t>. The optimisation of radiological protection: broadening the process. ICRP</w:t>
      </w:r>
      <w:r w:rsidR="009E40FF" w:rsidRPr="00FB7CF0">
        <w:t xml:space="preserve"> </w:t>
      </w:r>
      <w:r w:rsidRPr="00FB7CF0">
        <w:t>Publication 101</w:t>
      </w:r>
      <w:r w:rsidR="0068685D" w:rsidRPr="00FB7CF0">
        <w:t>b</w:t>
      </w:r>
      <w:r w:rsidRPr="00FB7CF0">
        <w:t>. Ann. ICRP 36(3).</w:t>
      </w:r>
    </w:p>
    <w:p w14:paraId="3E2E59BB" w14:textId="77777777" w:rsidR="001B371D" w:rsidRPr="00FB7CF0" w:rsidRDefault="001B371D" w:rsidP="009E40FF">
      <w:pPr>
        <w:pStyle w:val="ICRPrefs"/>
      </w:pPr>
      <w:r w:rsidRPr="00FB7CF0">
        <w:t>ICRP, 2007. The 2007 Recommendations of the International Commission on Radiological</w:t>
      </w:r>
      <w:r w:rsidR="009E40FF" w:rsidRPr="00FB7CF0">
        <w:t xml:space="preserve"> </w:t>
      </w:r>
      <w:r w:rsidRPr="00FB7CF0">
        <w:t>Protection. ICRP Publication 103. Ann. ICRP 37(2–4).</w:t>
      </w:r>
    </w:p>
    <w:p w14:paraId="133538E6" w14:textId="77777777" w:rsidR="001B371D" w:rsidRPr="00FB7CF0" w:rsidRDefault="001B371D" w:rsidP="009E40FF">
      <w:pPr>
        <w:pStyle w:val="ICRPrefs"/>
      </w:pPr>
      <w:r w:rsidRPr="00FB7CF0">
        <w:t>ICRP, 2008. Environmental protection – the concept and use of reference animals and plants.</w:t>
      </w:r>
      <w:r w:rsidR="009E40FF" w:rsidRPr="00FB7CF0">
        <w:t xml:space="preserve"> </w:t>
      </w:r>
      <w:r w:rsidRPr="00FB7CF0">
        <w:t>ICRP Publication 108. Ann. ICRP 38(4–6).</w:t>
      </w:r>
    </w:p>
    <w:p w14:paraId="44092E9F" w14:textId="77777777" w:rsidR="001B371D" w:rsidRPr="00FB7CF0" w:rsidRDefault="001B371D" w:rsidP="009E40FF">
      <w:pPr>
        <w:pStyle w:val="ICRPrefs"/>
      </w:pPr>
      <w:r w:rsidRPr="00FB7CF0">
        <w:t>ICRP, 2014a. Protection of the environment under different exposure situations. ICRP</w:t>
      </w:r>
      <w:r w:rsidR="009E40FF" w:rsidRPr="00FB7CF0">
        <w:t xml:space="preserve"> </w:t>
      </w:r>
      <w:r w:rsidRPr="00FB7CF0">
        <w:t>Publication 124. Ann. ICRP 43(1).</w:t>
      </w:r>
    </w:p>
    <w:p w14:paraId="2F4E53A4" w14:textId="77777777" w:rsidR="001B371D" w:rsidRPr="00FB7CF0" w:rsidRDefault="001B371D" w:rsidP="009E40FF">
      <w:pPr>
        <w:pStyle w:val="ICRPrefs"/>
      </w:pPr>
      <w:r w:rsidRPr="00FB7CF0">
        <w:t>ICRP, 2014b. Radiological protection against radon exposure. ICRP Publication 126. Ann.</w:t>
      </w:r>
      <w:r w:rsidR="009E40FF" w:rsidRPr="00FB7CF0">
        <w:t xml:space="preserve"> </w:t>
      </w:r>
      <w:r w:rsidRPr="00FB7CF0">
        <w:t>ICRP 43(3).</w:t>
      </w:r>
    </w:p>
    <w:p w14:paraId="6AEB9829" w14:textId="77777777" w:rsidR="001B371D" w:rsidRPr="00FB7CF0" w:rsidRDefault="001B371D" w:rsidP="00DB1C6A">
      <w:pPr>
        <w:pStyle w:val="ICRPrefs"/>
      </w:pPr>
      <w:r w:rsidRPr="00FB7CF0">
        <w:t>ICRP, 2016. Radiological protection from cosmic radiation in aviation. ICRP Publication</w:t>
      </w:r>
      <w:r w:rsidR="00DB1C6A" w:rsidRPr="00FB7CF0">
        <w:t xml:space="preserve"> </w:t>
      </w:r>
      <w:r w:rsidRPr="00FB7CF0">
        <w:t>132. Ann. ICRP 45(1).</w:t>
      </w:r>
    </w:p>
    <w:p w14:paraId="6B395813" w14:textId="77777777" w:rsidR="001B371D" w:rsidRPr="00FB7CF0" w:rsidRDefault="001B371D" w:rsidP="00DB1C6A">
      <w:pPr>
        <w:pStyle w:val="ICRPrefs"/>
      </w:pPr>
      <w:r w:rsidRPr="00FB7CF0">
        <w:t>ICRP, 2018. Ethical foundations of the system of radiological protection. ICRP Publication 138. Ann. ICRP 47(1).</w:t>
      </w:r>
    </w:p>
    <w:p w14:paraId="11F4C26C" w14:textId="77777777" w:rsidR="001B371D" w:rsidRPr="00FB7CF0" w:rsidRDefault="001B371D" w:rsidP="00DB1C6A">
      <w:pPr>
        <w:pStyle w:val="ICRPrefs"/>
      </w:pPr>
      <w:r w:rsidRPr="00FB7CF0">
        <w:t>ICRP, 2019. Radiological protection from naturally occurring radioactive material (NORM) in industrial processes. ICRP Publication 142. Ann. ICRP 48(4).</w:t>
      </w:r>
    </w:p>
    <w:p w14:paraId="75D363E6" w14:textId="366EF6BC" w:rsidR="001B371D" w:rsidRPr="00FB7CF0" w:rsidRDefault="001B371D" w:rsidP="00DB1C6A">
      <w:pPr>
        <w:pStyle w:val="ICRPrefs"/>
      </w:pPr>
      <w:r w:rsidRPr="00FB7CF0">
        <w:t>ICRP, 2020. Radiological protection of people and the environment in the event of a large nuclear accident: update of ICRP Publications 109 and 111. ICRP Publication 146.</w:t>
      </w:r>
      <w:r w:rsidR="0089767E" w:rsidRPr="00FB7CF0">
        <w:t xml:space="preserve"> </w:t>
      </w:r>
      <w:r w:rsidRPr="00FB7CF0">
        <w:t>Ann. ICRP 49(4).</w:t>
      </w:r>
    </w:p>
    <w:p w14:paraId="49AC7760" w14:textId="77777777" w:rsidR="001B371D" w:rsidRPr="00FB7CF0" w:rsidRDefault="001B371D" w:rsidP="00DB1C6A">
      <w:pPr>
        <w:pStyle w:val="ICRPrefs"/>
      </w:pPr>
      <w:r w:rsidRPr="00FB7CF0">
        <w:t>ICRP, 2021. Use of dose quantities in radiological protection. ICRP Publication 147. Ann. ICRP 50(1).</w:t>
      </w:r>
    </w:p>
    <w:p w14:paraId="03BF3660" w14:textId="5435F22B" w:rsidR="00BC1804" w:rsidRPr="00FB7CF0" w:rsidRDefault="00BC1804" w:rsidP="00BC1804">
      <w:pPr>
        <w:pStyle w:val="ICRPrefs"/>
      </w:pPr>
      <w:r w:rsidRPr="00FB7CF0">
        <w:t>ICRP, 2024. Radiological protection in surface and near-surface disposal of solid radioactive waste. Ann. ICRP, in press.</w:t>
      </w:r>
    </w:p>
    <w:p w14:paraId="388B1907" w14:textId="35DE9A1E" w:rsidR="00241E2A" w:rsidRPr="00FB7CF0" w:rsidRDefault="00F94842" w:rsidP="00AE3643">
      <w:pPr>
        <w:pStyle w:val="ICRPrefs"/>
      </w:pPr>
      <w:r w:rsidRPr="00FB7CF0">
        <w:t xml:space="preserve">ISCORS, 2004. </w:t>
      </w:r>
      <w:r w:rsidR="00CE25F5" w:rsidRPr="00FB7CF0">
        <w:t>RESRAD-BIOTA: A</w:t>
      </w:r>
      <w:r w:rsidR="00AE3643" w:rsidRPr="00FB7CF0">
        <w:t xml:space="preserve"> </w:t>
      </w:r>
      <w:r w:rsidR="00CE25F5" w:rsidRPr="00FB7CF0">
        <w:t xml:space="preserve">tool for implementing a Graded Approach to Biota Dose Evaluation. </w:t>
      </w:r>
      <w:r w:rsidR="00AE3643" w:rsidRPr="00FB7CF0">
        <w:t>I</w:t>
      </w:r>
      <w:r w:rsidR="00CE25F5" w:rsidRPr="00FB7CF0">
        <w:t>SCORS Technical Report 2004-02</w:t>
      </w:r>
      <w:r w:rsidR="0089767E" w:rsidRPr="00FB7CF0">
        <w:t>. Interagency Steering Committee on Radiation Standards</w:t>
      </w:r>
      <w:r w:rsidR="003D1E3B" w:rsidRPr="00FB7CF0">
        <w:t>,</w:t>
      </w:r>
      <w:r w:rsidR="0089767E" w:rsidRPr="00FB7CF0">
        <w:t xml:space="preserve"> </w:t>
      </w:r>
      <w:r w:rsidR="00CE25F5" w:rsidRPr="00FB7CF0">
        <w:t>Washington, D.C.</w:t>
      </w:r>
    </w:p>
    <w:p w14:paraId="786C6B6C" w14:textId="4FBAE3B4" w:rsidR="00136EE8" w:rsidRPr="00FB7CF0" w:rsidDel="006A66BA" w:rsidRDefault="00136EE8" w:rsidP="00DB1C6A">
      <w:pPr>
        <w:pStyle w:val="ICRPrefs"/>
      </w:pPr>
      <w:r w:rsidRPr="00FB7CF0" w:rsidDel="006A66BA">
        <w:t>Jacob</w:t>
      </w:r>
      <w:r w:rsidR="009807AD" w:rsidRPr="00FB7CF0">
        <w:t>,</w:t>
      </w:r>
      <w:r w:rsidRPr="00FB7CF0" w:rsidDel="006A66BA">
        <w:t xml:space="preserve"> P</w:t>
      </w:r>
      <w:r w:rsidR="009807AD" w:rsidRPr="00FB7CF0">
        <w:t>.</w:t>
      </w:r>
      <w:r w:rsidRPr="00FB7CF0" w:rsidDel="006A66BA">
        <w:t>, Fesenko</w:t>
      </w:r>
      <w:r w:rsidR="009807AD" w:rsidRPr="00FB7CF0">
        <w:t>,</w:t>
      </w:r>
      <w:r w:rsidRPr="00FB7CF0" w:rsidDel="006A66BA">
        <w:t xml:space="preserve"> S</w:t>
      </w:r>
      <w:r w:rsidR="009807AD" w:rsidRPr="00FB7CF0">
        <w:t>.</w:t>
      </w:r>
      <w:r w:rsidRPr="00FB7CF0" w:rsidDel="006A66BA">
        <w:t xml:space="preserve">, </w:t>
      </w:r>
      <w:proofErr w:type="spellStart"/>
      <w:r w:rsidRPr="00FB7CF0" w:rsidDel="006A66BA">
        <w:t>Firsakova</w:t>
      </w:r>
      <w:proofErr w:type="spellEnd"/>
      <w:r w:rsidR="009807AD" w:rsidRPr="00FB7CF0">
        <w:t>,</w:t>
      </w:r>
      <w:r w:rsidRPr="00FB7CF0" w:rsidDel="006A66BA">
        <w:t xml:space="preserve"> S</w:t>
      </w:r>
      <w:r w:rsidR="009807AD" w:rsidRPr="00FB7CF0">
        <w:t>.</w:t>
      </w:r>
      <w:r w:rsidRPr="00FB7CF0" w:rsidDel="006A66BA">
        <w:t>K</w:t>
      </w:r>
      <w:r w:rsidR="009807AD" w:rsidRPr="00FB7CF0">
        <w:t>.</w:t>
      </w:r>
      <w:r w:rsidRPr="00FB7CF0" w:rsidDel="006A66BA">
        <w:t xml:space="preserve">, </w:t>
      </w:r>
      <w:r w:rsidR="009807AD" w:rsidRPr="00FB7CF0">
        <w:t xml:space="preserve">et al., </w:t>
      </w:r>
      <w:r w:rsidRPr="00FB7CF0" w:rsidDel="006A66BA">
        <w:t>2001. Remediation strategies for rural territories contaminated by the Chernobyl accident</w:t>
      </w:r>
      <w:r w:rsidR="009807AD" w:rsidRPr="00FB7CF0">
        <w:t>.</w:t>
      </w:r>
      <w:r w:rsidRPr="00FB7CF0" w:rsidDel="006A66BA">
        <w:t xml:space="preserve"> J. Environ. Radioact. 56, 51–76.</w:t>
      </w:r>
    </w:p>
    <w:p w14:paraId="72620E5C" w14:textId="666CFA03" w:rsidR="001B371D" w:rsidRPr="00FB7CF0" w:rsidRDefault="001B371D" w:rsidP="00DB1C6A">
      <w:pPr>
        <w:pStyle w:val="ICRPrefs"/>
      </w:pPr>
      <w:r w:rsidRPr="00FB7CF0">
        <w:t>Lindborg, T</w:t>
      </w:r>
      <w:r w:rsidR="009807AD" w:rsidRPr="00FB7CF0">
        <w:t>.</w:t>
      </w:r>
      <w:r w:rsidRPr="00FB7CF0">
        <w:t>, Ikonen, A</w:t>
      </w:r>
      <w:r w:rsidR="009807AD" w:rsidRPr="00FB7CF0">
        <w:t>.</w:t>
      </w:r>
      <w:r w:rsidRPr="00FB7CF0">
        <w:t>, Kautsky</w:t>
      </w:r>
      <w:r w:rsidR="009807AD" w:rsidRPr="00FB7CF0">
        <w:t>,</w:t>
      </w:r>
      <w:r w:rsidRPr="00FB7CF0">
        <w:t xml:space="preserve"> U</w:t>
      </w:r>
      <w:r w:rsidR="009807AD" w:rsidRPr="00FB7CF0">
        <w:t>.,</w:t>
      </w:r>
      <w:r w:rsidRPr="00FB7CF0">
        <w:t xml:space="preserve"> Smith</w:t>
      </w:r>
      <w:r w:rsidR="009807AD" w:rsidRPr="00FB7CF0">
        <w:t>,</w:t>
      </w:r>
      <w:r w:rsidRPr="00FB7CF0">
        <w:t xml:space="preserve"> G</w:t>
      </w:r>
      <w:r w:rsidR="009807AD" w:rsidRPr="00FB7CF0">
        <w:t>.,</w:t>
      </w:r>
      <w:r w:rsidRPr="00FB7CF0">
        <w:t xml:space="preserve"> 2021. System understanding as a scientific foundation in radioactive waste disposal, legacy </w:t>
      </w:r>
      <w:proofErr w:type="gramStart"/>
      <w:r w:rsidRPr="00FB7CF0">
        <w:t>site</w:t>
      </w:r>
      <w:proofErr w:type="gramEnd"/>
      <w:r w:rsidRPr="00FB7CF0">
        <w:t xml:space="preserve"> and decommissioning programmes. </w:t>
      </w:r>
      <w:r w:rsidR="009807AD" w:rsidRPr="00FB7CF0">
        <w:t>J. Radiol. Prot.</w:t>
      </w:r>
      <w:r w:rsidR="009807AD" w:rsidRPr="00FB7CF0" w:rsidDel="009807AD">
        <w:t xml:space="preserve"> </w:t>
      </w:r>
      <w:r w:rsidRPr="00FB7CF0">
        <w:t>41</w:t>
      </w:r>
      <w:r w:rsidR="009807AD" w:rsidRPr="00FB7CF0">
        <w:t>,</w:t>
      </w:r>
      <w:r w:rsidRPr="00FB7CF0">
        <w:t xml:space="preserve"> S9–S23</w:t>
      </w:r>
      <w:r w:rsidR="009807AD" w:rsidRPr="00FB7CF0">
        <w:t>.</w:t>
      </w:r>
    </w:p>
    <w:p w14:paraId="36CDD0A4" w14:textId="66E4E27B" w:rsidR="00932AD9" w:rsidRPr="00FB7CF0" w:rsidRDefault="00932AD9" w:rsidP="00DB1C6A">
      <w:pPr>
        <w:pStyle w:val="ICRPrefs"/>
      </w:pPr>
      <w:r w:rsidRPr="00FB7CF0">
        <w:t>Martinez</w:t>
      </w:r>
      <w:r w:rsidR="009807AD" w:rsidRPr="00FB7CF0">
        <w:t>,</w:t>
      </w:r>
      <w:r w:rsidRPr="00FB7CF0">
        <w:t xml:space="preserve"> N.E., Canoba</w:t>
      </w:r>
      <w:r w:rsidR="009807AD" w:rsidRPr="00FB7CF0">
        <w:t>,</w:t>
      </w:r>
      <w:r w:rsidRPr="00FB7CF0">
        <w:t xml:space="preserve"> A</w:t>
      </w:r>
      <w:r w:rsidR="009807AD" w:rsidRPr="00FB7CF0">
        <w:t>.</w:t>
      </w:r>
      <w:r w:rsidRPr="00FB7CF0">
        <w:t>, Donaher</w:t>
      </w:r>
      <w:r w:rsidR="009807AD" w:rsidRPr="00FB7CF0">
        <w:t>,</w:t>
      </w:r>
      <w:r w:rsidRPr="00FB7CF0">
        <w:t xml:space="preserve"> S.E</w:t>
      </w:r>
      <w:r w:rsidR="009807AD" w:rsidRPr="00FB7CF0">
        <w:t>.</w:t>
      </w:r>
      <w:r w:rsidRPr="00FB7CF0">
        <w:t xml:space="preserve">, </w:t>
      </w:r>
      <w:r w:rsidR="009807AD" w:rsidRPr="00FB7CF0">
        <w:t xml:space="preserve">et al., 2023. </w:t>
      </w:r>
      <w:r w:rsidRPr="00FB7CF0">
        <w:t>An Introduction to Ecosystem Services for Radiological Protection</w:t>
      </w:r>
      <w:r w:rsidR="009807AD" w:rsidRPr="00FB7CF0">
        <w:t>. Ann. ICRP52(1</w:t>
      </w:r>
      <w:r w:rsidR="003D1E3B" w:rsidRPr="00FB7CF0">
        <w:t>–</w:t>
      </w:r>
      <w:r w:rsidR="009807AD" w:rsidRPr="00FB7CF0">
        <w:t>2)</w:t>
      </w:r>
      <w:r w:rsidR="00FB7CF0" w:rsidRPr="00FB7CF0">
        <w:rPr>
          <w:rFonts w:eastAsiaTheme="minorEastAsia" w:hint="eastAsia"/>
        </w:rPr>
        <w:t xml:space="preserve"> Annex</w:t>
      </w:r>
      <w:r w:rsidR="009807AD" w:rsidRPr="00FB7CF0">
        <w:t>, 24</w:t>
      </w:r>
      <w:r w:rsidR="00FB7CF0" w:rsidRPr="00FB7CF0">
        <w:rPr>
          <w:rFonts w:eastAsiaTheme="minorEastAsia" w:hint="eastAsia"/>
        </w:rPr>
        <w:t>6</w:t>
      </w:r>
      <w:r w:rsidR="009807AD" w:rsidRPr="00FB7CF0">
        <w:t>–2</w:t>
      </w:r>
      <w:r w:rsidR="00FB7CF0" w:rsidRPr="00FB7CF0">
        <w:rPr>
          <w:rFonts w:eastAsiaTheme="minorEastAsia" w:hint="eastAsia"/>
        </w:rPr>
        <w:t>54</w:t>
      </w:r>
      <w:r w:rsidR="00923E53" w:rsidRPr="00FB7CF0">
        <w:t>.</w:t>
      </w:r>
    </w:p>
    <w:p w14:paraId="10C9E8BD" w14:textId="77662338" w:rsidR="001B371D" w:rsidRPr="00FB7CF0" w:rsidRDefault="001B371D" w:rsidP="00DB1C6A">
      <w:pPr>
        <w:pStyle w:val="ICRPrefs"/>
      </w:pPr>
      <w:r w:rsidRPr="00FB7CF0">
        <w:t>Mokrov</w:t>
      </w:r>
      <w:r w:rsidR="003D1E3B" w:rsidRPr="00FB7CF0">
        <w:t>,</w:t>
      </w:r>
      <w:r w:rsidRPr="00FB7CF0">
        <w:t xml:space="preserve"> </w:t>
      </w:r>
      <w:r w:rsidR="003362AC" w:rsidRPr="00FB7CF0">
        <w:t>Y.,</w:t>
      </w:r>
      <w:r w:rsidRPr="00FB7CF0">
        <w:t xml:space="preserve"> Sneve</w:t>
      </w:r>
      <w:r w:rsidR="003362AC" w:rsidRPr="00FB7CF0">
        <w:t>,</w:t>
      </w:r>
      <w:r w:rsidRPr="00FB7CF0">
        <w:t xml:space="preserve"> M</w:t>
      </w:r>
      <w:r w:rsidR="003362AC" w:rsidRPr="00FB7CF0">
        <w:t>.,</w:t>
      </w:r>
      <w:r w:rsidRPr="00FB7CF0">
        <w:t xml:space="preserve"> </w:t>
      </w:r>
      <w:r w:rsidR="00970941" w:rsidRPr="00FB7CF0">
        <w:t>2</w:t>
      </w:r>
      <w:r w:rsidRPr="00FB7CF0">
        <w:t xml:space="preserve">014. Natural and Anthropogenic Treatment of Surface Water Bodies Contaminated by Radioactive Substances due to Releases from FSUE Mayak PA. International Workshop on Radioecology and Assessment Research in Support of Regulatory Supervision of Protection of the Environment and Human Health at Legacy Sites, </w:t>
      </w:r>
      <w:r w:rsidR="00CD289B" w:rsidRPr="00FB7CF0">
        <w:t xml:space="preserve">7–12 September 2014, </w:t>
      </w:r>
      <w:r w:rsidRPr="00FB7CF0">
        <w:t>Barcelona</w:t>
      </w:r>
      <w:r w:rsidR="003362AC" w:rsidRPr="00FB7CF0">
        <w:t>, Spain</w:t>
      </w:r>
      <w:r w:rsidRPr="00FB7CF0">
        <w:t>.</w:t>
      </w:r>
    </w:p>
    <w:p w14:paraId="2CF2673D" w14:textId="246225BD" w:rsidR="001B371D" w:rsidRPr="00FB7CF0" w:rsidRDefault="001B371D" w:rsidP="0082544C">
      <w:pPr>
        <w:pStyle w:val="ICRPrefs"/>
      </w:pPr>
      <w:r w:rsidRPr="00FB7CF0">
        <w:t>NEA</w:t>
      </w:r>
      <w:r w:rsidR="003712AD" w:rsidRPr="00FB7CF0">
        <w:t>,</w:t>
      </w:r>
      <w:r w:rsidRPr="00FB7CF0">
        <w:t xml:space="preserve"> 2016.</w:t>
      </w:r>
      <w:r w:rsidR="0082544C" w:rsidRPr="00FB7CF0">
        <w:t xml:space="preserve"> Strategic Considerations for the Sustainable Remediation of Nuclear Installations</w:t>
      </w:r>
      <w:r w:rsidRPr="00FB7CF0">
        <w:t xml:space="preserve">. </w:t>
      </w:r>
      <w:r w:rsidR="0082544C" w:rsidRPr="00FB7CF0">
        <w:t>NEA No. 7290</w:t>
      </w:r>
      <w:r w:rsidR="0049237D" w:rsidRPr="00FB7CF0">
        <w:t>.</w:t>
      </w:r>
      <w:r w:rsidRPr="00FB7CF0">
        <w:t xml:space="preserve"> Nuclear Energy Agency, Organisation for Economic Co-Operation and Development</w:t>
      </w:r>
      <w:r w:rsidR="0049237D" w:rsidRPr="00FB7CF0">
        <w:t>, Paris</w:t>
      </w:r>
      <w:r w:rsidR="00DB1C6A" w:rsidRPr="00FB7CF0">
        <w:t>.</w:t>
      </w:r>
    </w:p>
    <w:p w14:paraId="6A6F5B0F" w14:textId="3411AACC" w:rsidR="001B371D" w:rsidRPr="00FB7CF0" w:rsidRDefault="001B371D" w:rsidP="00DB1C6A">
      <w:pPr>
        <w:pStyle w:val="ICRPrefs"/>
      </w:pPr>
      <w:r w:rsidRPr="00FB7CF0">
        <w:t>NEA</w:t>
      </w:r>
      <w:r w:rsidR="003712AD" w:rsidRPr="00FB7CF0">
        <w:t>,</w:t>
      </w:r>
      <w:r w:rsidRPr="00FB7CF0">
        <w:t xml:space="preserve"> 2019. Challenges in Nuclear and Radiological Site Management: Towards a Common Regulatory Framework. NEA No.7419</w:t>
      </w:r>
      <w:r w:rsidR="0049237D" w:rsidRPr="00FB7CF0">
        <w:t>.</w:t>
      </w:r>
      <w:r w:rsidRPr="00FB7CF0">
        <w:t xml:space="preserve"> Nuclear Energy Agency, Organisation for Economic Co-Operation and Development</w:t>
      </w:r>
      <w:r w:rsidR="0049237D" w:rsidRPr="00FB7CF0">
        <w:t>, Paris.</w:t>
      </w:r>
    </w:p>
    <w:p w14:paraId="4D054EBA" w14:textId="640BADE4" w:rsidR="001B371D" w:rsidRPr="00FB7CF0" w:rsidRDefault="001B371D" w:rsidP="00DB1C6A">
      <w:pPr>
        <w:pStyle w:val="ICRPrefs"/>
      </w:pPr>
      <w:r w:rsidRPr="00FB7CF0">
        <w:t>NEA</w:t>
      </w:r>
      <w:r w:rsidR="0049237D" w:rsidRPr="00FB7CF0">
        <w:t>,</w:t>
      </w:r>
      <w:r w:rsidRPr="00FB7CF0">
        <w:t xml:space="preserve"> 2021. Characterisation Methodology for Unconventional and Legacy Waste. NEA/RWM/</w:t>
      </w:r>
      <w:proofErr w:type="gramStart"/>
      <w:r w:rsidRPr="00FB7CF0">
        <w:t>R(</w:t>
      </w:r>
      <w:proofErr w:type="gramEnd"/>
      <w:r w:rsidRPr="00FB7CF0">
        <w:t>2020)2. Nuclear Energy Agency, Organisation for Economic Co-Operation and Development</w:t>
      </w:r>
      <w:r w:rsidR="0049237D" w:rsidRPr="00FB7CF0">
        <w:t>, Paris</w:t>
      </w:r>
      <w:r w:rsidR="00DB1C6A" w:rsidRPr="00FB7CF0">
        <w:t>.</w:t>
      </w:r>
    </w:p>
    <w:p w14:paraId="5FAA0E35" w14:textId="2DC0DA62" w:rsidR="00632061" w:rsidRPr="00FB7CF0" w:rsidRDefault="00632061" w:rsidP="0057792D">
      <w:pPr>
        <w:pStyle w:val="ICRPrefs"/>
      </w:pPr>
      <w:r w:rsidRPr="00FB7CF0">
        <w:t>SERA</w:t>
      </w:r>
      <w:r w:rsidR="0049237D" w:rsidRPr="00FB7CF0">
        <w:t>,</w:t>
      </w:r>
      <w:r w:rsidR="00A30D01" w:rsidRPr="00FB7CF0">
        <w:t xml:space="preserve"> </w:t>
      </w:r>
      <w:r w:rsidRPr="00FB7CF0">
        <w:t>2017</w:t>
      </w:r>
      <w:r w:rsidR="0049237D" w:rsidRPr="00FB7CF0">
        <w:t>.</w:t>
      </w:r>
      <w:r w:rsidRPr="00FB7CF0">
        <w:t xml:space="preserve"> Standards Reference Group National Standards for the Practice of Ecological Restoration in Australia. Second Edition. Society for Ecological Restoration Australasia. Available </w:t>
      </w:r>
      <w:r w:rsidR="00A4238E" w:rsidRPr="00FB7CF0">
        <w:t>at</w:t>
      </w:r>
      <w:r w:rsidRPr="00FB7CF0">
        <w:t>:</w:t>
      </w:r>
      <w:r w:rsidR="00DE4A29" w:rsidRPr="00FB7CF0">
        <w:t xml:space="preserve"> </w:t>
      </w:r>
      <w:r w:rsidR="00EF095C" w:rsidRPr="00FB7CF0">
        <w:t>http://</w:t>
      </w:r>
      <w:hyperlink r:id="rId25" w:history="1">
        <w:r w:rsidR="00EF095C" w:rsidRPr="00FB7CF0">
          <w:rPr>
            <w:rStyle w:val="af1"/>
            <w:u w:val="none"/>
          </w:rPr>
          <w:t>www.seraustralasia.com</w:t>
        </w:r>
      </w:hyperlink>
      <w:r w:rsidR="00A4238E" w:rsidRPr="00FB7CF0">
        <w:t xml:space="preserve"> (last accessed 19 February 2024).</w:t>
      </w:r>
    </w:p>
    <w:p w14:paraId="19F002E3" w14:textId="234957BB" w:rsidR="001B371D" w:rsidRPr="00FB7CF0" w:rsidRDefault="001B371D" w:rsidP="00DB1C6A">
      <w:pPr>
        <w:pStyle w:val="ICRPrefs"/>
      </w:pPr>
      <w:r w:rsidRPr="00FB7CF0">
        <w:t>Shishkina</w:t>
      </w:r>
      <w:r w:rsidR="00C60221" w:rsidRPr="00FB7CF0">
        <w:t>,</w:t>
      </w:r>
      <w:r w:rsidRPr="00FB7CF0">
        <w:t xml:space="preserve"> E</w:t>
      </w:r>
      <w:r w:rsidR="00C60221" w:rsidRPr="00FB7CF0">
        <w:t>.</w:t>
      </w:r>
      <w:r w:rsidRPr="00FB7CF0">
        <w:t>A</w:t>
      </w:r>
      <w:r w:rsidR="00C60221" w:rsidRPr="00FB7CF0">
        <w:t>.</w:t>
      </w:r>
      <w:r w:rsidRPr="00FB7CF0">
        <w:t xml:space="preserve">, </w:t>
      </w:r>
      <w:proofErr w:type="spellStart"/>
      <w:r w:rsidRPr="00FB7CF0">
        <w:t>Pryakhin</w:t>
      </w:r>
      <w:proofErr w:type="spellEnd"/>
      <w:r w:rsidR="00C60221" w:rsidRPr="00FB7CF0">
        <w:t>,</w:t>
      </w:r>
      <w:r w:rsidRPr="00FB7CF0">
        <w:t xml:space="preserve"> E</w:t>
      </w:r>
      <w:r w:rsidR="00C60221" w:rsidRPr="00FB7CF0">
        <w:t>.</w:t>
      </w:r>
      <w:r w:rsidRPr="00FB7CF0">
        <w:t>A</w:t>
      </w:r>
      <w:r w:rsidR="00C60221" w:rsidRPr="00FB7CF0">
        <w:t>.</w:t>
      </w:r>
      <w:r w:rsidRPr="00FB7CF0">
        <w:t xml:space="preserve">, </w:t>
      </w:r>
      <w:proofErr w:type="spellStart"/>
      <w:r w:rsidRPr="00FB7CF0">
        <w:t>Sharagin</w:t>
      </w:r>
      <w:proofErr w:type="spellEnd"/>
      <w:r w:rsidR="00C60221" w:rsidRPr="00FB7CF0">
        <w:t>,</w:t>
      </w:r>
      <w:r w:rsidRPr="00FB7CF0">
        <w:t xml:space="preserve"> P</w:t>
      </w:r>
      <w:r w:rsidR="00C60221" w:rsidRPr="00FB7CF0">
        <w:t>.</w:t>
      </w:r>
      <w:r w:rsidRPr="00FB7CF0">
        <w:t>A</w:t>
      </w:r>
      <w:r w:rsidR="00C60221" w:rsidRPr="00FB7CF0">
        <w:t>.</w:t>
      </w:r>
      <w:r w:rsidRPr="00FB7CF0">
        <w:t xml:space="preserve">, </w:t>
      </w:r>
      <w:r w:rsidR="00C60221" w:rsidRPr="00FB7CF0">
        <w:t xml:space="preserve">et al., </w:t>
      </w:r>
      <w:r w:rsidRPr="00FB7CF0">
        <w:t xml:space="preserve">2019. The radiation exposure of fish in the period of the Techa river peak contamination. </w:t>
      </w:r>
      <w:r w:rsidR="00C60221" w:rsidRPr="00FB7CF0">
        <w:t xml:space="preserve">J. Environ. Radioact. </w:t>
      </w:r>
      <w:r w:rsidRPr="00FB7CF0">
        <w:t>201, 43</w:t>
      </w:r>
      <w:r w:rsidR="00C60221" w:rsidRPr="00FB7CF0">
        <w:t>–</w:t>
      </w:r>
      <w:r w:rsidRPr="00FB7CF0">
        <w:t>55</w:t>
      </w:r>
      <w:r w:rsidR="00DB1C6A" w:rsidRPr="00FB7CF0">
        <w:t>.</w:t>
      </w:r>
    </w:p>
    <w:p w14:paraId="27AB8D11" w14:textId="7FBF6804" w:rsidR="001B371D" w:rsidRPr="00FB7CF0" w:rsidRDefault="001B371D" w:rsidP="00DB1C6A">
      <w:pPr>
        <w:pStyle w:val="ICRPrefs"/>
      </w:pPr>
      <w:r w:rsidRPr="00FB7CF0">
        <w:lastRenderedPageBreak/>
        <w:t>Shishkina</w:t>
      </w:r>
      <w:r w:rsidR="00D853A1" w:rsidRPr="00FB7CF0">
        <w:t>,</w:t>
      </w:r>
      <w:r w:rsidRPr="00FB7CF0">
        <w:t xml:space="preserve"> E</w:t>
      </w:r>
      <w:r w:rsidR="00D853A1" w:rsidRPr="00FB7CF0">
        <w:t>.</w:t>
      </w:r>
      <w:r w:rsidRPr="00FB7CF0">
        <w:t>A</w:t>
      </w:r>
      <w:r w:rsidR="00D853A1" w:rsidRPr="00FB7CF0">
        <w:t>.,</w:t>
      </w:r>
      <w:r w:rsidRPr="00FB7CF0">
        <w:t xml:space="preserve"> </w:t>
      </w:r>
      <w:proofErr w:type="spellStart"/>
      <w:r w:rsidRPr="00FB7CF0">
        <w:t>Pryakhin</w:t>
      </w:r>
      <w:proofErr w:type="spellEnd"/>
      <w:r w:rsidR="00D853A1" w:rsidRPr="00FB7CF0">
        <w:t>,</w:t>
      </w:r>
      <w:r w:rsidRPr="00FB7CF0">
        <w:t xml:space="preserve"> I</w:t>
      </w:r>
      <w:r w:rsidR="00D853A1" w:rsidRPr="00FB7CF0">
        <w:t>.</w:t>
      </w:r>
      <w:r w:rsidRPr="00FB7CF0">
        <w:t>Y</w:t>
      </w:r>
      <w:r w:rsidR="00D853A1" w:rsidRPr="00FB7CF0">
        <w:t>.</w:t>
      </w:r>
      <w:r w:rsidRPr="00FB7CF0">
        <w:t>, Popova</w:t>
      </w:r>
      <w:r w:rsidR="00D853A1" w:rsidRPr="00FB7CF0">
        <w:t>,</w:t>
      </w:r>
      <w:r w:rsidRPr="00FB7CF0">
        <w:t xml:space="preserve"> D</w:t>
      </w:r>
      <w:r w:rsidR="00D853A1" w:rsidRPr="00FB7CF0">
        <w:t>.</w:t>
      </w:r>
      <w:r w:rsidRPr="00FB7CF0">
        <w:t>I</w:t>
      </w:r>
      <w:r w:rsidR="00D853A1" w:rsidRPr="00FB7CF0">
        <w:t>.</w:t>
      </w:r>
      <w:r w:rsidRPr="00FB7CF0">
        <w:t xml:space="preserve">, 2016. Evaluation of distribution coefficients and concentration ratios of </w:t>
      </w:r>
      <w:r w:rsidRPr="00FB7CF0">
        <w:rPr>
          <w:vertAlign w:val="superscript"/>
        </w:rPr>
        <w:t>90</w:t>
      </w:r>
      <w:r w:rsidRPr="00FB7CF0">
        <w:t xml:space="preserve">Sr and </w:t>
      </w:r>
      <w:r w:rsidRPr="00FB7CF0">
        <w:rPr>
          <w:vertAlign w:val="superscript"/>
        </w:rPr>
        <w:t>137</w:t>
      </w:r>
      <w:r w:rsidRPr="00FB7CF0">
        <w:t xml:space="preserve">Cs in the Techa river and the </w:t>
      </w:r>
      <w:proofErr w:type="spellStart"/>
      <w:r w:rsidRPr="00FB7CF0">
        <w:t>Miass</w:t>
      </w:r>
      <w:proofErr w:type="spellEnd"/>
      <w:r w:rsidRPr="00FB7CF0">
        <w:t xml:space="preserve"> river</w:t>
      </w:r>
      <w:r w:rsidR="00D853A1" w:rsidRPr="00FB7CF0">
        <w:t>.</w:t>
      </w:r>
      <w:r w:rsidRPr="00FB7CF0">
        <w:t xml:space="preserve"> </w:t>
      </w:r>
      <w:r w:rsidR="00D853A1" w:rsidRPr="00FB7CF0">
        <w:t>J. Environ. Radioact.</w:t>
      </w:r>
      <w:r w:rsidR="00D853A1" w:rsidRPr="00FB7CF0" w:rsidDel="00D853A1">
        <w:t xml:space="preserve"> </w:t>
      </w:r>
      <w:r w:rsidRPr="00FB7CF0">
        <w:t xml:space="preserve"> 158</w:t>
      </w:r>
      <w:r w:rsidR="00D853A1" w:rsidRPr="00FB7CF0">
        <w:t>–</w:t>
      </w:r>
      <w:r w:rsidRPr="00FB7CF0">
        <w:t>159</w:t>
      </w:r>
      <w:r w:rsidR="00D853A1" w:rsidRPr="00FB7CF0">
        <w:t>,</w:t>
      </w:r>
      <w:r w:rsidRPr="00FB7CF0">
        <w:t xml:space="preserve"> 148</w:t>
      </w:r>
      <w:r w:rsidR="00D853A1" w:rsidRPr="00FB7CF0">
        <w:t>–</w:t>
      </w:r>
      <w:r w:rsidRPr="00FB7CF0">
        <w:t>163.</w:t>
      </w:r>
    </w:p>
    <w:p w14:paraId="51C8FFA9" w14:textId="4FDDA39E" w:rsidR="00220F8A" w:rsidRPr="00FB7CF0" w:rsidRDefault="00220F8A" w:rsidP="00DB1C6A">
      <w:pPr>
        <w:pStyle w:val="ICRPrefs"/>
      </w:pPr>
      <w:r w:rsidRPr="00FB7CF0">
        <w:t>U</w:t>
      </w:r>
      <w:r w:rsidR="000004B0" w:rsidRPr="00FB7CF0">
        <w:t>nited</w:t>
      </w:r>
      <w:r w:rsidRPr="00FB7CF0">
        <w:t xml:space="preserve"> N</w:t>
      </w:r>
      <w:r w:rsidR="000004B0" w:rsidRPr="00FB7CF0">
        <w:t>ations</w:t>
      </w:r>
      <w:r w:rsidR="0053468F" w:rsidRPr="00FB7CF0">
        <w:t>,</w:t>
      </w:r>
      <w:r w:rsidRPr="00FB7CF0">
        <w:t xml:space="preserve"> 1992</w:t>
      </w:r>
      <w:r w:rsidR="0053468F" w:rsidRPr="00FB7CF0">
        <w:t>.</w:t>
      </w:r>
      <w:r w:rsidRPr="00FB7CF0">
        <w:t xml:space="preserve"> Rio Declaration on Environmental and Development</w:t>
      </w:r>
      <w:r w:rsidR="00EC3670" w:rsidRPr="00FB7CF0">
        <w:t xml:space="preserve">. </w:t>
      </w:r>
      <w:r w:rsidR="007247D5" w:rsidRPr="00FB7CF0">
        <w:t xml:space="preserve">United Nations General Assembly A/CONF.151/26 (Vol. I). </w:t>
      </w:r>
      <w:r w:rsidR="00EC3670" w:rsidRPr="00FB7CF0">
        <w:t xml:space="preserve">United Nations, </w:t>
      </w:r>
      <w:r w:rsidR="00463247" w:rsidRPr="00FB7CF0">
        <w:t>New</w:t>
      </w:r>
      <w:r w:rsidR="007247D5" w:rsidRPr="00FB7CF0">
        <w:t xml:space="preserve"> </w:t>
      </w:r>
      <w:r w:rsidR="00463247" w:rsidRPr="00FB7CF0">
        <w:t xml:space="preserve">York. </w:t>
      </w:r>
      <w:r w:rsidR="0053468F" w:rsidRPr="00FB7CF0">
        <w:t>Available at:</w:t>
      </w:r>
      <w:r w:rsidR="00EC3670" w:rsidRPr="00FB7CF0">
        <w:t xml:space="preserve"> </w:t>
      </w:r>
      <w:r w:rsidR="005B3932" w:rsidRPr="00FB7CF0">
        <w:t xml:space="preserve">https://www.un.org/en/development/desa/population/migration/generalassembly/docs/globalcompact/A_CONF.151_26_Vol.I_Declaration.pdf </w:t>
      </w:r>
      <w:r w:rsidR="0053468F" w:rsidRPr="00FB7CF0">
        <w:t>(last accessed 19 February 2024).</w:t>
      </w:r>
    </w:p>
    <w:p w14:paraId="6CF68978" w14:textId="678FB993" w:rsidR="00762FA6" w:rsidRPr="00FB7CF0" w:rsidRDefault="00762FA6" w:rsidP="00DB1C6A">
      <w:pPr>
        <w:pStyle w:val="ICRPrefs"/>
      </w:pPr>
      <w:r w:rsidRPr="00FB7CF0">
        <w:t>United Nations</w:t>
      </w:r>
      <w:r w:rsidR="002F4A11" w:rsidRPr="00FB7CF0">
        <w:t>,</w:t>
      </w:r>
      <w:r w:rsidRPr="00FB7CF0">
        <w:t xml:space="preserve"> 2015</w:t>
      </w:r>
      <w:r w:rsidR="002F4A11" w:rsidRPr="00FB7CF0">
        <w:t>.</w:t>
      </w:r>
      <w:r w:rsidRPr="00FB7CF0">
        <w:t xml:space="preserve"> Transforming our world: the 2030 Agenda for Sustainable Development. United Nations General Assembly A/RES/70/1</w:t>
      </w:r>
      <w:r w:rsidR="002F4A11" w:rsidRPr="00FB7CF0">
        <w:t>. United Nations, New York.</w:t>
      </w:r>
    </w:p>
    <w:p w14:paraId="7B4F8D67" w14:textId="61B88DDF" w:rsidR="00970941" w:rsidRPr="00FB7CF0" w:rsidRDefault="00970941" w:rsidP="00DB1C6A">
      <w:pPr>
        <w:pStyle w:val="ICRPrefs"/>
      </w:pPr>
      <w:r w:rsidRPr="00FB7CF0">
        <w:t>V</w:t>
      </w:r>
      <w:r w:rsidR="006A66BA" w:rsidRPr="00FB7CF0">
        <w:t>oigt</w:t>
      </w:r>
      <w:r w:rsidRPr="00FB7CF0">
        <w:t>, G., F</w:t>
      </w:r>
      <w:r w:rsidR="006A66BA" w:rsidRPr="00FB7CF0">
        <w:t>esenko</w:t>
      </w:r>
      <w:r w:rsidRPr="00FB7CF0">
        <w:t>, S. (Eds</w:t>
      </w:r>
      <w:r w:rsidR="005D75A7" w:rsidRPr="00FB7CF0">
        <w:t>.</w:t>
      </w:r>
      <w:r w:rsidRPr="00FB7CF0">
        <w:t>), 2009. Remediation of Contaminated Environments</w:t>
      </w:r>
      <w:r w:rsidR="002F4A11" w:rsidRPr="00FB7CF0">
        <w:t>.</w:t>
      </w:r>
      <w:r w:rsidRPr="00FB7CF0">
        <w:t xml:space="preserve"> Radioactivity in the Environment Series No. 14</w:t>
      </w:r>
      <w:r w:rsidR="002F4A11" w:rsidRPr="00FB7CF0">
        <w:t>.</w:t>
      </w:r>
      <w:r w:rsidRPr="00FB7CF0">
        <w:t xml:space="preserve"> Elsevier, Amsterdam.</w:t>
      </w:r>
    </w:p>
    <w:p w14:paraId="074DE9AC" w14:textId="4944091F" w:rsidR="00A42349" w:rsidRPr="00FB7CF0" w:rsidRDefault="00A42349" w:rsidP="00A42349">
      <w:pPr>
        <w:pStyle w:val="ICRPrefs"/>
      </w:pPr>
      <w:r w:rsidRPr="00FB7CF0">
        <w:t>WHO, 2021. Health Promotion Glossary of Terms 2021</w:t>
      </w:r>
      <w:r w:rsidR="003C5078" w:rsidRPr="00FB7CF0">
        <w:t>. World Health Organization, Geneva.</w:t>
      </w:r>
    </w:p>
    <w:p w14:paraId="6D1726C8" w14:textId="09FCA3D5" w:rsidR="00082AAC" w:rsidRPr="00FB7CF0" w:rsidRDefault="00082AAC" w:rsidP="00DB1C6A">
      <w:pPr>
        <w:pStyle w:val="ICRPrefs"/>
        <w:rPr>
          <w:lang w:val="en-CA"/>
        </w:rPr>
      </w:pPr>
      <w:r w:rsidRPr="00FB7CF0">
        <w:rPr>
          <w:lang w:val="en-CA"/>
        </w:rPr>
        <w:t>Yankovich</w:t>
      </w:r>
      <w:r w:rsidR="003C5078" w:rsidRPr="00FB7CF0">
        <w:rPr>
          <w:lang w:val="en-CA"/>
        </w:rPr>
        <w:t>,</w:t>
      </w:r>
      <w:r w:rsidRPr="00FB7CF0">
        <w:rPr>
          <w:lang w:val="en-CA"/>
        </w:rPr>
        <w:t xml:space="preserve"> T</w:t>
      </w:r>
      <w:r w:rsidR="003C5078" w:rsidRPr="00FB7CF0">
        <w:rPr>
          <w:lang w:val="en-CA"/>
        </w:rPr>
        <w:t>.</w:t>
      </w:r>
      <w:r w:rsidRPr="00FB7CF0">
        <w:rPr>
          <w:lang w:val="en-CA"/>
        </w:rPr>
        <w:t>L</w:t>
      </w:r>
      <w:r w:rsidR="003C5078" w:rsidRPr="00FB7CF0">
        <w:rPr>
          <w:lang w:val="en-CA"/>
        </w:rPr>
        <w:t>.</w:t>
      </w:r>
      <w:r w:rsidRPr="00FB7CF0">
        <w:rPr>
          <w:lang w:val="en-CA"/>
        </w:rPr>
        <w:t>, Roberts</w:t>
      </w:r>
      <w:r w:rsidR="003C5078" w:rsidRPr="00FB7CF0">
        <w:rPr>
          <w:lang w:val="en-CA"/>
        </w:rPr>
        <w:t>,</w:t>
      </w:r>
      <w:r w:rsidRPr="00FB7CF0">
        <w:rPr>
          <w:lang w:val="en-CA"/>
        </w:rPr>
        <w:t xml:space="preserve"> M</w:t>
      </w:r>
      <w:r w:rsidR="003C5078" w:rsidRPr="00FB7CF0">
        <w:rPr>
          <w:lang w:val="en-CA"/>
        </w:rPr>
        <w:t>.</w:t>
      </w:r>
      <w:r w:rsidRPr="00FB7CF0">
        <w:rPr>
          <w:lang w:val="en-CA"/>
        </w:rPr>
        <w:t>, Brown</w:t>
      </w:r>
      <w:r w:rsidR="003C5078" w:rsidRPr="00FB7CF0">
        <w:rPr>
          <w:lang w:val="en-CA"/>
        </w:rPr>
        <w:t>,</w:t>
      </w:r>
      <w:r w:rsidRPr="00FB7CF0">
        <w:rPr>
          <w:lang w:val="en-CA"/>
        </w:rPr>
        <w:t xml:space="preserve"> J</w:t>
      </w:r>
      <w:r w:rsidR="003C5078" w:rsidRPr="00FB7CF0">
        <w:rPr>
          <w:lang w:val="en-CA"/>
        </w:rPr>
        <w:t>.</w:t>
      </w:r>
      <w:r w:rsidRPr="00FB7CF0">
        <w:rPr>
          <w:lang w:val="en-CA"/>
        </w:rPr>
        <w:t xml:space="preserve">, </w:t>
      </w:r>
      <w:r w:rsidR="003C5078" w:rsidRPr="00FB7CF0">
        <w:rPr>
          <w:lang w:val="en-CA"/>
        </w:rPr>
        <w:t xml:space="preserve">et al., </w:t>
      </w:r>
      <w:r w:rsidRPr="00FB7CF0">
        <w:rPr>
          <w:lang w:val="en-CA"/>
        </w:rPr>
        <w:t xml:space="preserve">2022. Practical application of international recommendations and safety standards in the systematic planning and implementation of remediation of sites or areas with residual radioactive material. </w:t>
      </w:r>
      <w:bookmarkStart w:id="113" w:name="_Hlk127963860"/>
      <w:r w:rsidR="003C5078" w:rsidRPr="00FB7CF0">
        <w:rPr>
          <w:lang w:val="en-CA"/>
        </w:rPr>
        <w:t xml:space="preserve">J. Radiol. Prot. </w:t>
      </w:r>
      <w:r w:rsidRPr="00FB7CF0">
        <w:rPr>
          <w:lang w:val="en-CA"/>
        </w:rPr>
        <w:t>42</w:t>
      </w:r>
      <w:r w:rsidR="003C5078" w:rsidRPr="00FB7CF0">
        <w:rPr>
          <w:lang w:val="en-CA"/>
        </w:rPr>
        <w:t>,</w:t>
      </w:r>
      <w:r w:rsidRPr="00FB7CF0">
        <w:rPr>
          <w:lang w:val="en-CA"/>
        </w:rPr>
        <w:t xml:space="preserve"> 020513.</w:t>
      </w:r>
      <w:bookmarkEnd w:id="113"/>
    </w:p>
    <w:p w14:paraId="2C37B6E6" w14:textId="5DC02D6A" w:rsidR="007C00F9" w:rsidRPr="00082AAC" w:rsidRDefault="007C00F9" w:rsidP="00923E53">
      <w:pPr>
        <w:pStyle w:val="ICRPrefs"/>
        <w:jc w:val="left"/>
        <w:rPr>
          <w:lang w:val="en-CA"/>
        </w:rPr>
      </w:pPr>
      <w:proofErr w:type="spellStart"/>
      <w:r w:rsidRPr="00FB7CF0">
        <w:rPr>
          <w:lang w:val="en-CA"/>
        </w:rPr>
        <w:t>Zoetica</w:t>
      </w:r>
      <w:proofErr w:type="spellEnd"/>
      <w:r w:rsidRPr="00FB7CF0">
        <w:rPr>
          <w:lang w:val="en-CA"/>
        </w:rPr>
        <w:t xml:space="preserve">, </w:t>
      </w:r>
      <w:r w:rsidR="008F4540" w:rsidRPr="00FB7CF0">
        <w:rPr>
          <w:lang w:val="en-CA"/>
        </w:rPr>
        <w:t>2021</w:t>
      </w:r>
      <w:r w:rsidR="00AE77C7" w:rsidRPr="00FB7CF0">
        <w:rPr>
          <w:lang w:val="en-CA"/>
        </w:rPr>
        <w:t>.</w:t>
      </w:r>
      <w:r w:rsidR="008F4540" w:rsidRPr="00FB7CF0">
        <w:rPr>
          <w:lang w:val="en-CA"/>
        </w:rPr>
        <w:t xml:space="preserve"> </w:t>
      </w:r>
      <w:r w:rsidRPr="00FB7CF0">
        <w:rPr>
          <w:lang w:val="en-CA"/>
        </w:rPr>
        <w:t>Biodiversity Impact Studies</w:t>
      </w:r>
      <w:r w:rsidR="00AE77C7" w:rsidRPr="00FB7CF0">
        <w:rPr>
          <w:lang w:val="en-CA"/>
        </w:rPr>
        <w:t xml:space="preserve"> –</w:t>
      </w:r>
      <w:r w:rsidRPr="00FB7CF0">
        <w:rPr>
          <w:lang w:val="en-CA"/>
        </w:rPr>
        <w:t xml:space="preserve"> Northwestern Ontario </w:t>
      </w:r>
      <w:r w:rsidR="00577759" w:rsidRPr="00FB7CF0">
        <w:rPr>
          <w:lang w:val="en-CA"/>
        </w:rPr>
        <w:t>Region</w:t>
      </w:r>
      <w:r w:rsidR="00AE77C7" w:rsidRPr="00FB7CF0">
        <w:rPr>
          <w:lang w:val="en-CA"/>
        </w:rPr>
        <w:t>:</w:t>
      </w:r>
      <w:r w:rsidR="00577759" w:rsidRPr="00FB7CF0">
        <w:rPr>
          <w:lang w:val="en-CA"/>
        </w:rPr>
        <w:t xml:space="preserve"> Baseline</w:t>
      </w:r>
      <w:r w:rsidRPr="00FB7CF0">
        <w:rPr>
          <w:lang w:val="en-CA"/>
        </w:rPr>
        <w:t xml:space="preserve"> Program Design</w:t>
      </w:r>
      <w:r w:rsidR="00AE77C7" w:rsidRPr="00FB7CF0">
        <w:rPr>
          <w:lang w:val="en-CA"/>
        </w:rPr>
        <w:t xml:space="preserve">. </w:t>
      </w:r>
      <w:proofErr w:type="spellStart"/>
      <w:r w:rsidR="00AE77C7" w:rsidRPr="00FB7CF0">
        <w:rPr>
          <w:lang w:val="en-CA"/>
        </w:rPr>
        <w:t>Zoetica</w:t>
      </w:r>
      <w:proofErr w:type="spellEnd"/>
      <w:r w:rsidR="00AE77C7" w:rsidRPr="00FB7CF0">
        <w:rPr>
          <w:lang w:val="en-CA"/>
        </w:rPr>
        <w:t xml:space="preserve"> Environmental Consulting Services, </w:t>
      </w:r>
      <w:r w:rsidR="005A7C55" w:rsidRPr="00FB7CF0">
        <w:rPr>
          <w:lang w:val="en-CA"/>
        </w:rPr>
        <w:t>Vancouver</w:t>
      </w:r>
      <w:r w:rsidR="00923E53" w:rsidRPr="00FB7CF0">
        <w:rPr>
          <w:lang w:val="en-CA"/>
        </w:rPr>
        <w:t>.</w:t>
      </w:r>
      <w:r w:rsidR="00653BCA">
        <w:rPr>
          <w:lang w:val="en-CA"/>
        </w:rPr>
        <w:t xml:space="preserve"> </w:t>
      </w:r>
    </w:p>
    <w:p w14:paraId="7070734A" w14:textId="77777777" w:rsidR="0085341F" w:rsidRPr="00082AAC" w:rsidRDefault="0085341F" w:rsidP="0085341F">
      <w:pPr>
        <w:autoSpaceDE w:val="0"/>
        <w:autoSpaceDN w:val="0"/>
        <w:adjustRightInd w:val="0"/>
        <w:rPr>
          <w:color w:val="000000" w:themeColor="text1"/>
          <w:lang w:val="en-CA"/>
        </w:rPr>
      </w:pPr>
    </w:p>
    <w:p w14:paraId="2503C0A4" w14:textId="77777777" w:rsidR="0085341F" w:rsidRPr="00082AAC" w:rsidRDefault="0085341F" w:rsidP="0060320F">
      <w:pPr>
        <w:autoSpaceDE w:val="0"/>
        <w:autoSpaceDN w:val="0"/>
        <w:adjustRightInd w:val="0"/>
        <w:rPr>
          <w:color w:val="000000" w:themeColor="text1"/>
          <w:lang w:val="en-CA"/>
        </w:rPr>
        <w:sectPr w:rsidR="0085341F" w:rsidRPr="00082AAC" w:rsidSect="00F630C4">
          <w:pgSz w:w="11907" w:h="16840" w:code="9"/>
          <w:pgMar w:top="1440" w:right="1440" w:bottom="1440" w:left="1440" w:header="720" w:footer="720" w:gutter="0"/>
          <w:lnNumType w:countBy="1" w:restart="continuous"/>
          <w:cols w:space="720"/>
          <w:noEndnote/>
          <w:docGrid w:linePitch="326"/>
        </w:sectPr>
      </w:pPr>
    </w:p>
    <w:p w14:paraId="35D5439E" w14:textId="0261B758" w:rsidR="000F6127" w:rsidRDefault="00685042" w:rsidP="000F6127">
      <w:pPr>
        <w:pStyle w:val="ICRPannexheading1"/>
      </w:pPr>
      <w:bookmarkStart w:id="114" w:name="_Toc166586820"/>
      <w:r w:rsidRPr="00A843BF">
        <w:lastRenderedPageBreak/>
        <w:t>CASE STUDIES</w:t>
      </w:r>
      <w:bookmarkEnd w:id="114"/>
    </w:p>
    <w:p w14:paraId="69947272" w14:textId="144ABA2A" w:rsidR="00007CB9" w:rsidRDefault="007C517A" w:rsidP="00F73EE5">
      <w:pPr>
        <w:pStyle w:val="ICRPannexparagraph"/>
      </w:pPr>
      <w:r>
        <w:t xml:space="preserve">The following five case studies </w:t>
      </w:r>
      <w:r w:rsidR="001F18C9">
        <w:t xml:space="preserve">have been selected to </w:t>
      </w:r>
      <w:r w:rsidR="00A7439D">
        <w:t xml:space="preserve">represent </w:t>
      </w:r>
      <w:r w:rsidR="00A84F5B">
        <w:t xml:space="preserve">the variety in </w:t>
      </w:r>
      <w:r w:rsidR="009D28D5">
        <w:t>size</w:t>
      </w:r>
      <w:r w:rsidR="00A84F5B">
        <w:t xml:space="preserve">, </w:t>
      </w:r>
      <w:r w:rsidR="009D28D5">
        <w:t>complexity</w:t>
      </w:r>
      <w:r w:rsidR="00A84F5B">
        <w:t xml:space="preserve">, radionuclides present, </w:t>
      </w:r>
      <w:r w:rsidR="00623B56">
        <w:t xml:space="preserve">and remediation </w:t>
      </w:r>
      <w:r w:rsidR="002021B2">
        <w:t>challenges that</w:t>
      </w:r>
      <w:r w:rsidR="00D43117">
        <w:t xml:space="preserve"> may </w:t>
      </w:r>
      <w:r w:rsidR="006E1AE4">
        <w:t xml:space="preserve">be </w:t>
      </w:r>
      <w:r w:rsidR="009A78CA">
        <w:t>encountered</w:t>
      </w:r>
      <w:r w:rsidR="00623B56">
        <w:t xml:space="preserve">. </w:t>
      </w:r>
      <w:r w:rsidR="00140100">
        <w:t xml:space="preserve">There are many other types of contaminated areas that could have been included, such as uranium </w:t>
      </w:r>
      <w:r w:rsidR="005B10AB">
        <w:t xml:space="preserve">mill tailing sites, nuclear weapons accident sites, </w:t>
      </w:r>
      <w:r w:rsidR="0032687F">
        <w:t>and</w:t>
      </w:r>
      <w:r w:rsidR="00F81DD5">
        <w:t xml:space="preserve"> sites contaminated </w:t>
      </w:r>
      <w:r w:rsidR="0022168B">
        <w:t>by unregulated industrial discharges</w:t>
      </w:r>
      <w:r w:rsidR="002021B2">
        <w:t xml:space="preserve"> of radioactivity</w:t>
      </w:r>
      <w:r w:rsidR="00A703A3">
        <w:t xml:space="preserve">. However, </w:t>
      </w:r>
      <w:r w:rsidR="007F1C28">
        <w:t xml:space="preserve">the following </w:t>
      </w:r>
      <w:r w:rsidR="00E36733">
        <w:t xml:space="preserve">examples </w:t>
      </w:r>
      <w:r w:rsidR="00796E44">
        <w:t xml:space="preserve">represent an acceptable cross section of </w:t>
      </w:r>
      <w:r w:rsidR="00163C97">
        <w:t xml:space="preserve">the broad category of </w:t>
      </w:r>
      <w:r w:rsidR="00514B92">
        <w:t xml:space="preserve">contaminated areas </w:t>
      </w:r>
      <w:r w:rsidR="00C171FD" w:rsidRPr="00C171FD">
        <w:t xml:space="preserve">that can </w:t>
      </w:r>
      <w:r w:rsidR="00BB791B">
        <w:t xml:space="preserve">now be </w:t>
      </w:r>
      <w:r w:rsidR="00C171FD" w:rsidRPr="00C171FD">
        <w:t>appropriately managed as existing exposure situations.</w:t>
      </w:r>
    </w:p>
    <w:p w14:paraId="2E13A3B5" w14:textId="309B22FC" w:rsidR="009348DF" w:rsidRDefault="002F2351" w:rsidP="00A75083">
      <w:pPr>
        <w:pStyle w:val="ICRPannexparagraph"/>
      </w:pPr>
      <w:r>
        <w:t xml:space="preserve">It should be noted that these </w:t>
      </w:r>
      <w:r w:rsidR="006A126D">
        <w:t>case studies reflect site management and cleanup decisions that</w:t>
      </w:r>
      <w:r w:rsidR="00CB63D1">
        <w:t>,</w:t>
      </w:r>
      <w:r w:rsidR="006A126D">
        <w:t xml:space="preserve"> </w:t>
      </w:r>
      <w:r w:rsidR="00CB63D1">
        <w:t xml:space="preserve">for the most part, </w:t>
      </w:r>
      <w:r w:rsidR="006A126D">
        <w:t xml:space="preserve">were made </w:t>
      </w:r>
      <w:r w:rsidR="00C71CE1">
        <w:t>before</w:t>
      </w:r>
      <w:r w:rsidR="0059778A">
        <w:t xml:space="preserve"> the</w:t>
      </w:r>
      <w:r w:rsidR="00DD37BF">
        <w:t xml:space="preserve"> </w:t>
      </w:r>
      <w:r w:rsidR="00C52213">
        <w:t xml:space="preserve">changes </w:t>
      </w:r>
      <w:r w:rsidR="000C5DB8">
        <w:t>to</w:t>
      </w:r>
      <w:r w:rsidR="00C52213">
        <w:t xml:space="preserve"> the system of radiological protection that were introduced in </w:t>
      </w:r>
      <w:r w:rsidR="00C52213" w:rsidRPr="00667C97">
        <w:rPr>
          <w:i/>
          <w:iCs/>
        </w:rPr>
        <w:t>Publication 103</w:t>
      </w:r>
      <w:r w:rsidR="00C52213">
        <w:t xml:space="preserve">. </w:t>
      </w:r>
      <w:r w:rsidR="00EF4693">
        <w:t>As a result, some of the terminology</w:t>
      </w:r>
      <w:r w:rsidR="00285B55">
        <w:t xml:space="preserve"> in the following descriptions </w:t>
      </w:r>
      <w:r w:rsidR="00604665">
        <w:t xml:space="preserve">is </w:t>
      </w:r>
      <w:r w:rsidR="00492E81">
        <w:t>not</w:t>
      </w:r>
      <w:r w:rsidR="00604665">
        <w:t xml:space="preserve"> consistent with the current sys</w:t>
      </w:r>
      <w:r w:rsidR="00492E81">
        <w:t xml:space="preserve">tem. </w:t>
      </w:r>
      <w:r w:rsidR="006A1F76">
        <w:t xml:space="preserve">Although not </w:t>
      </w:r>
      <w:proofErr w:type="gramStart"/>
      <w:r w:rsidR="006A1F76">
        <w:t>all of</w:t>
      </w:r>
      <w:proofErr w:type="gramEnd"/>
      <w:r w:rsidR="006A1F76">
        <w:t xml:space="preserve"> </w:t>
      </w:r>
      <w:r w:rsidR="00C50473">
        <w:t xml:space="preserve">the </w:t>
      </w:r>
      <w:r w:rsidR="00273202">
        <w:t xml:space="preserve">elements of the current system of protection </w:t>
      </w:r>
      <w:r w:rsidR="00CE0D51">
        <w:t xml:space="preserve">(e.g. stakeholder involvement, biota protection, </w:t>
      </w:r>
      <w:r w:rsidR="00A6573A">
        <w:t>application of reference levels</w:t>
      </w:r>
      <w:r w:rsidR="009354F3">
        <w:t xml:space="preserve">, etc.) </w:t>
      </w:r>
      <w:r w:rsidR="00273202">
        <w:t xml:space="preserve">are </w:t>
      </w:r>
      <w:r w:rsidR="00CE0D51">
        <w:t>presen</w:t>
      </w:r>
      <w:r w:rsidR="009354F3">
        <w:t>t</w:t>
      </w:r>
      <w:r w:rsidR="00CE0D51">
        <w:t xml:space="preserve"> in </w:t>
      </w:r>
      <w:r w:rsidR="009354F3">
        <w:t xml:space="preserve">each of the </w:t>
      </w:r>
      <w:r w:rsidR="005676A2">
        <w:t>case studies</w:t>
      </w:r>
      <w:r w:rsidR="00702BB7">
        <w:t xml:space="preserve">, </w:t>
      </w:r>
      <w:r w:rsidR="001F36F8">
        <w:t>t</w:t>
      </w:r>
      <w:r w:rsidR="00C87C71">
        <w:t xml:space="preserve">he basic principles of justification and optimisation are </w:t>
      </w:r>
      <w:r w:rsidR="00A20F84">
        <w:t xml:space="preserve">often </w:t>
      </w:r>
      <w:r w:rsidR="00290C1A">
        <w:t xml:space="preserve">applied in a manner </w:t>
      </w:r>
      <w:r w:rsidR="00A20F84">
        <w:t xml:space="preserve">that is broadly </w:t>
      </w:r>
      <w:r w:rsidR="00290C1A">
        <w:t>consistent with</w:t>
      </w:r>
      <w:r w:rsidR="00EE0A15">
        <w:t xml:space="preserve"> </w:t>
      </w:r>
      <w:r w:rsidR="00A20F84">
        <w:t>current ICRP Recommendations</w:t>
      </w:r>
      <w:r w:rsidR="00E85048">
        <w:t xml:space="preserve"> (ICRP, 2007)</w:t>
      </w:r>
      <w:r w:rsidR="006E2519">
        <w:t xml:space="preserve">. </w:t>
      </w:r>
    </w:p>
    <w:p w14:paraId="172B5ADC" w14:textId="704E0A0C" w:rsidR="003E169A" w:rsidRDefault="003E169A" w:rsidP="00A75083">
      <w:pPr>
        <w:pStyle w:val="ICRPannexheading2"/>
        <w:numPr>
          <w:ilvl w:val="1"/>
          <w:numId w:val="6"/>
        </w:numPr>
        <w:tabs>
          <w:tab w:val="clear" w:pos="576"/>
          <w:tab w:val="clear" w:pos="851"/>
          <w:tab w:val="left" w:pos="567"/>
        </w:tabs>
        <w:ind w:left="567" w:hanging="567"/>
      </w:pPr>
      <w:bookmarkStart w:id="115" w:name="_Toc166586821"/>
      <w:r w:rsidRPr="00685042">
        <w:t xml:space="preserve">Stakeholder </w:t>
      </w:r>
      <w:r w:rsidR="00D309E1">
        <w:t>i</w:t>
      </w:r>
      <w:r w:rsidRPr="00685042">
        <w:t xml:space="preserve">nvolvement in </w:t>
      </w:r>
      <w:r w:rsidR="00D309E1">
        <w:t>e</w:t>
      </w:r>
      <w:r w:rsidRPr="00685042">
        <w:t xml:space="preserve">stablishing </w:t>
      </w:r>
      <w:r w:rsidR="00D309E1">
        <w:t>r</w:t>
      </w:r>
      <w:r w:rsidRPr="00685042">
        <w:t xml:space="preserve">adionuclide </w:t>
      </w:r>
      <w:r w:rsidR="00D309E1">
        <w:t>s</w:t>
      </w:r>
      <w:r w:rsidRPr="00685042">
        <w:t xml:space="preserve">oil </w:t>
      </w:r>
      <w:r w:rsidR="00D309E1">
        <w:t>a</w:t>
      </w:r>
      <w:r w:rsidRPr="00685042">
        <w:t xml:space="preserve">ction </w:t>
      </w:r>
      <w:r w:rsidR="00D309E1">
        <w:t>l</w:t>
      </w:r>
      <w:r w:rsidRPr="00685042">
        <w:t>evels at the Rocky Flats Plant</w:t>
      </w:r>
      <w:bookmarkEnd w:id="115"/>
    </w:p>
    <w:p w14:paraId="7549761F" w14:textId="2E2AEB1E" w:rsidR="003E169A" w:rsidRPr="000B7E48" w:rsidRDefault="000B7E48" w:rsidP="00A75083">
      <w:pPr>
        <w:pStyle w:val="ICRPannexheading3"/>
        <w:spacing w:before="240" w:after="240"/>
        <w:rPr>
          <w:b/>
          <w:bCs/>
          <w:lang w:val="en-US"/>
        </w:rPr>
      </w:pPr>
      <w:r w:rsidRPr="000B7E48">
        <w:rPr>
          <w:rFonts w:eastAsiaTheme="minorEastAsia"/>
          <w:b/>
          <w:bCs/>
          <w:lang w:val="en-US" w:eastAsia="ja-JP"/>
        </w:rPr>
        <w:t>Background</w:t>
      </w:r>
    </w:p>
    <w:p w14:paraId="1E45790D" w14:textId="249F236D" w:rsidR="003E169A" w:rsidRDefault="003E169A" w:rsidP="0023557D">
      <w:pPr>
        <w:pStyle w:val="ICRPannexparagraph"/>
      </w:pPr>
      <w:r w:rsidRPr="00B02A5A">
        <w:t xml:space="preserve">The Rocky Flats Plant (RFP) was a U.S. Department of Energy </w:t>
      </w:r>
      <w:r w:rsidR="00261702">
        <w:t xml:space="preserve">(DOE) </w:t>
      </w:r>
      <w:r w:rsidRPr="00B02A5A">
        <w:t>facility located northwest of Denver</w:t>
      </w:r>
      <w:r w:rsidR="00542F11">
        <w:t>,</w:t>
      </w:r>
      <w:r w:rsidRPr="00B02A5A">
        <w:t xml:space="preserve"> Colorado, USA. The primary mission of the facility was the manufacture of nuclear weapons components from materials primarily plutonium, but also uranium and beryllium (Till et al., 2002). Construction of the RFP began in 1952, and its first nuclear weapons components were shipped offsite in 1953. Operations involving nuclear materials were conducted at the site from 1953 to 1989. During plant operations, materials were released through routine operations or during accidents, primarily to air, but surface water releases also occurred. Accidental releases included two fires in the plutonium finishing buildings in 1957 and 1969 and the release of plutonium contaminated soil in a drum storage area, particularly during grading operations on windy days in 1969.</w:t>
      </w:r>
    </w:p>
    <w:p w14:paraId="6A41AFE0" w14:textId="1335F533" w:rsidR="003E169A" w:rsidRDefault="003E169A" w:rsidP="0023557D">
      <w:pPr>
        <w:pStyle w:val="ICRPannexparagraph"/>
      </w:pPr>
      <w:r w:rsidRPr="00B02A5A">
        <w:t>Estimate</w:t>
      </w:r>
      <w:r w:rsidR="005531B5">
        <w:t>d</w:t>
      </w:r>
      <w:r w:rsidRPr="00B02A5A">
        <w:t xml:space="preserve"> releases from routine operations were 4.4 </w:t>
      </w:r>
      <w:proofErr w:type="spellStart"/>
      <w:r w:rsidRPr="00B02A5A">
        <w:t>GBq</w:t>
      </w:r>
      <w:proofErr w:type="spellEnd"/>
      <w:r w:rsidRPr="00B02A5A">
        <w:t xml:space="preserve"> through stacks and vents (</w:t>
      </w:r>
      <w:proofErr w:type="spellStart"/>
      <w:r w:rsidRPr="00B02A5A">
        <w:t>Voillequé</w:t>
      </w:r>
      <w:proofErr w:type="spellEnd"/>
      <w:r w:rsidR="00E6006F">
        <w:t>,</w:t>
      </w:r>
      <w:r w:rsidRPr="00B02A5A">
        <w:t xml:space="preserve"> 1999a). A glove-box fire occurred in Building 771 in September 1957</w:t>
      </w:r>
      <w:r w:rsidR="002378BB">
        <w:t>,</w:t>
      </w:r>
      <w:r w:rsidRPr="00B02A5A">
        <w:t xml:space="preserve"> resulting</w:t>
      </w:r>
      <w:r w:rsidR="002378BB">
        <w:t xml:space="preserve"> in the </w:t>
      </w:r>
      <w:r w:rsidRPr="00B02A5A">
        <w:t xml:space="preserve">failure of the </w:t>
      </w:r>
      <w:r w:rsidR="008B1E60">
        <w:t>h</w:t>
      </w:r>
      <w:r w:rsidR="008B1E60" w:rsidRPr="008B1E60">
        <w:t xml:space="preserve">igh </w:t>
      </w:r>
      <w:r w:rsidR="008B1E60">
        <w:t>e</w:t>
      </w:r>
      <w:r w:rsidR="008B1E60" w:rsidRPr="008B1E60">
        <w:t xml:space="preserve">fficiency </w:t>
      </w:r>
      <w:r w:rsidR="008B1E60">
        <w:t>p</w:t>
      </w:r>
      <w:r w:rsidR="008B1E60" w:rsidRPr="008B1E60">
        <w:t xml:space="preserve">articulate </w:t>
      </w:r>
      <w:r w:rsidR="008B1E60">
        <w:t>a</w:t>
      </w:r>
      <w:r w:rsidR="008B1E60" w:rsidRPr="008B1E60">
        <w:t>ir</w:t>
      </w:r>
      <w:r w:rsidR="00346349">
        <w:t xml:space="preserve"> </w:t>
      </w:r>
      <w:r w:rsidR="008B1E60" w:rsidRPr="008B1E60">
        <w:t xml:space="preserve">filter </w:t>
      </w:r>
      <w:r w:rsidR="008B1E60">
        <w:t>(</w:t>
      </w:r>
      <w:r w:rsidRPr="00B02A5A">
        <w:t>HEPA</w:t>
      </w:r>
      <w:r w:rsidR="008B1E60">
        <w:t>)</w:t>
      </w:r>
      <w:r w:rsidRPr="00B02A5A">
        <w:t xml:space="preserve"> filtration system and an estimated median release of 780 </w:t>
      </w:r>
      <w:proofErr w:type="spellStart"/>
      <w:r w:rsidRPr="00B02A5A">
        <w:t>GBq</w:t>
      </w:r>
      <w:proofErr w:type="spellEnd"/>
      <w:r w:rsidRPr="00B02A5A">
        <w:t xml:space="preserve"> of plutonium to the air through a 44-m</w:t>
      </w:r>
      <w:r w:rsidR="009E5023">
        <w:t>etre</w:t>
      </w:r>
      <w:r w:rsidRPr="00B02A5A">
        <w:t xml:space="preserve"> stack (</w:t>
      </w:r>
      <w:proofErr w:type="spellStart"/>
      <w:r w:rsidRPr="00B02A5A">
        <w:t>Voillequé</w:t>
      </w:r>
      <w:proofErr w:type="spellEnd"/>
      <w:r w:rsidR="00E6006F">
        <w:t>,</w:t>
      </w:r>
      <w:r w:rsidRPr="00B02A5A">
        <w:t xml:space="preserve"> 1999b). A second glove box fire occurred in Building 776 in May of 1969</w:t>
      </w:r>
      <w:r w:rsidR="00B1180D">
        <w:t>,</w:t>
      </w:r>
      <w:r w:rsidRPr="00B02A5A">
        <w:t xml:space="preserve"> resulting in the release of plutonium from roof vents </w:t>
      </w:r>
      <w:r w:rsidR="001F3F4D">
        <w:t>over a 5-day period</w:t>
      </w:r>
      <w:r w:rsidRPr="00B02A5A">
        <w:t>. T</w:t>
      </w:r>
      <w:r w:rsidR="00350EA5">
        <w:t>he t</w:t>
      </w:r>
      <w:r w:rsidRPr="00B02A5A">
        <w:t xml:space="preserve">otal median release from this incident was 1.4 </w:t>
      </w:r>
      <w:proofErr w:type="spellStart"/>
      <w:r w:rsidRPr="00B02A5A">
        <w:t>GBq</w:t>
      </w:r>
      <w:proofErr w:type="spellEnd"/>
      <w:r w:rsidRPr="00B02A5A">
        <w:t xml:space="preserve"> (</w:t>
      </w:r>
      <w:proofErr w:type="spellStart"/>
      <w:r w:rsidRPr="00B02A5A">
        <w:t>Voillequé</w:t>
      </w:r>
      <w:proofErr w:type="spellEnd"/>
      <w:r w:rsidRPr="00B02A5A">
        <w:t xml:space="preserve"> 1999c).</w:t>
      </w:r>
    </w:p>
    <w:p w14:paraId="75052181" w14:textId="7CE454B5" w:rsidR="003E169A" w:rsidRDefault="003E169A" w:rsidP="0023557D">
      <w:pPr>
        <w:pStyle w:val="ICRPannexparagraph"/>
      </w:pPr>
      <w:r w:rsidRPr="00B02A5A">
        <w:t>The drum storage area</w:t>
      </w:r>
      <w:r w:rsidR="00E75D2E">
        <w:t>,</w:t>
      </w:r>
      <w:r w:rsidRPr="00B02A5A">
        <w:t xml:space="preserve"> referred to as the 903 Pad</w:t>
      </w:r>
      <w:r w:rsidR="00E75D2E">
        <w:t>,</w:t>
      </w:r>
      <w:r w:rsidRPr="00B02A5A">
        <w:t xml:space="preserve"> contained 4500 55-gallon drums containing plutonium-contaminated cutting oil and degreasing agents (Weber et al., 1998). Site personnel reported barrel corrosion and subsequent leakage onto the soil as early as 1962. By 1964, this had become a major issue, and fences were constructed to limit the spread of contamination by intruding wildlife. In 1967, the barrels were removed from the 903 Area, repackaged, and shipped offsite. However, by late 1968, there was evidence that wind action had transported plutonium-contaminated soil beyond the 903 Area. In 1969, the area was paved </w:t>
      </w:r>
      <w:r w:rsidRPr="00B02A5A">
        <w:lastRenderedPageBreak/>
        <w:t xml:space="preserve">with asphalt to prevent further transport of plutonium-contaminated soil away from the area. Various estimates of the plutonium activity released to the soil from the leaking barrels ranged from 230 </w:t>
      </w:r>
      <w:proofErr w:type="spellStart"/>
      <w:r w:rsidRPr="00B02A5A">
        <w:t>GBq</w:t>
      </w:r>
      <w:proofErr w:type="spellEnd"/>
      <w:r w:rsidRPr="00B02A5A">
        <w:t xml:space="preserve"> to 2200 </w:t>
      </w:r>
      <w:proofErr w:type="spellStart"/>
      <w:r w:rsidRPr="00B02A5A">
        <w:t>GBq</w:t>
      </w:r>
      <w:proofErr w:type="spellEnd"/>
      <w:r w:rsidRPr="00B02A5A">
        <w:t xml:space="preserve">. The wind-blown suspension of contaminated soil was estimated to have released 110 </w:t>
      </w:r>
      <w:proofErr w:type="spellStart"/>
      <w:r w:rsidRPr="00B02A5A">
        <w:t>GBq</w:t>
      </w:r>
      <w:proofErr w:type="spellEnd"/>
      <w:r w:rsidRPr="00B02A5A">
        <w:t xml:space="preserve"> (median value) of plutonium to the surrounding environment east of the facility. Most of the releases occurred on six days in 1968 and 1969 during high wind events</w:t>
      </w:r>
      <w:r w:rsidR="00FD1D8A">
        <w:t>,</w:t>
      </w:r>
      <w:r w:rsidRPr="00B02A5A">
        <w:t xml:space="preserve"> resulting in a plume of plutonium deposition in soil east of the 903 Pad and beyond the facility boundary. This plume of plutonium deposition from the 903 Pad was a primary issue for site remediation.</w:t>
      </w:r>
    </w:p>
    <w:p w14:paraId="080493A3" w14:textId="55CFBA8C" w:rsidR="001D4113" w:rsidRPr="00B02A5A" w:rsidRDefault="003E169A" w:rsidP="000B7E48">
      <w:pPr>
        <w:pStyle w:val="ICRPannexparagraph"/>
      </w:pPr>
      <w:r w:rsidRPr="00B02A5A">
        <w:t>A dose reconstruction of the site was completed in 1999</w:t>
      </w:r>
      <w:r w:rsidR="00F627BC">
        <w:t>, which</w:t>
      </w:r>
      <w:r w:rsidRPr="00B02A5A">
        <w:t xml:space="preserve"> concluded </w:t>
      </w:r>
      <w:r w:rsidR="00A74C4D">
        <w:t xml:space="preserve">that </w:t>
      </w:r>
      <w:r w:rsidRPr="00B02A5A">
        <w:t xml:space="preserve">plutonium releases </w:t>
      </w:r>
      <w:r w:rsidR="00A74C4D">
        <w:t>in</w:t>
      </w:r>
      <w:r w:rsidRPr="00B02A5A">
        <w:t>to the air was the primary radionuclide and pathway of concern for public offsite radiation exposure (Rood et al., 2002).</w:t>
      </w:r>
    </w:p>
    <w:p w14:paraId="32A09A0D" w14:textId="43B1831D" w:rsidR="003E169A" w:rsidRPr="000B7E48" w:rsidRDefault="000B7E48" w:rsidP="000B7E48">
      <w:pPr>
        <w:pStyle w:val="ICRPannexheading3"/>
        <w:spacing w:before="240" w:after="240"/>
        <w:rPr>
          <w:b/>
          <w:bCs/>
        </w:rPr>
      </w:pPr>
      <w:r w:rsidRPr="000B7E48">
        <w:rPr>
          <w:rFonts w:eastAsiaTheme="minorEastAsia"/>
          <w:b/>
          <w:bCs/>
          <w:lang w:eastAsia="ja-JP"/>
        </w:rPr>
        <w:t>Exposure</w:t>
      </w:r>
      <w:r w:rsidR="003E169A" w:rsidRPr="000B7E48">
        <w:rPr>
          <w:b/>
          <w:bCs/>
        </w:rPr>
        <w:t xml:space="preserve"> </w:t>
      </w:r>
      <w:r w:rsidRPr="000B7E48">
        <w:rPr>
          <w:rFonts w:eastAsiaTheme="minorEastAsia"/>
          <w:b/>
          <w:bCs/>
          <w:lang w:eastAsia="ja-JP"/>
        </w:rPr>
        <w:t>pathways</w:t>
      </w:r>
      <w:r w:rsidR="003E169A" w:rsidRPr="000B7E48">
        <w:rPr>
          <w:b/>
          <w:bCs/>
        </w:rPr>
        <w:t xml:space="preserve"> </w:t>
      </w:r>
      <w:r w:rsidRPr="000B7E48">
        <w:rPr>
          <w:rFonts w:eastAsiaTheme="minorEastAsia"/>
          <w:b/>
          <w:bCs/>
          <w:lang w:eastAsia="ja-JP"/>
        </w:rPr>
        <w:t>of</w:t>
      </w:r>
      <w:r w:rsidR="003E169A" w:rsidRPr="000B7E48">
        <w:rPr>
          <w:b/>
          <w:bCs/>
        </w:rPr>
        <w:t xml:space="preserve"> </w:t>
      </w:r>
      <w:r w:rsidRPr="000B7E48">
        <w:rPr>
          <w:rFonts w:eastAsiaTheme="minorEastAsia"/>
          <w:b/>
          <w:bCs/>
          <w:lang w:eastAsia="ja-JP"/>
        </w:rPr>
        <w:t>concern</w:t>
      </w:r>
    </w:p>
    <w:p w14:paraId="083DEBBD" w14:textId="72A5E488" w:rsidR="003E169A" w:rsidRPr="00B02A5A" w:rsidRDefault="003E169A" w:rsidP="00152521">
      <w:pPr>
        <w:pStyle w:val="ICRPannexparagraph"/>
      </w:pPr>
      <w:r w:rsidRPr="00B02A5A">
        <w:t xml:space="preserve">Residual contamination of </w:t>
      </w:r>
      <w:r w:rsidRPr="00667C97">
        <w:rPr>
          <w:vertAlign w:val="superscript"/>
        </w:rPr>
        <w:t>239</w:t>
      </w:r>
      <w:r w:rsidRPr="00B02A5A">
        <w:t xml:space="preserve">Pu from industrial activities and from the 903 </w:t>
      </w:r>
      <w:r w:rsidR="00D942D1">
        <w:t>A</w:t>
      </w:r>
      <w:r w:rsidRPr="00B02A5A">
        <w:t xml:space="preserve">rea east of the site remained a challenging aspect of site remediation and release of the land to the public. Inhalation of suspended dust containing </w:t>
      </w:r>
      <w:r w:rsidRPr="00667C97">
        <w:rPr>
          <w:vertAlign w:val="superscript"/>
        </w:rPr>
        <w:t>239</w:t>
      </w:r>
      <w:r w:rsidRPr="00B02A5A">
        <w:t xml:space="preserve">Pu is the primary exposure pathway. Offsite </w:t>
      </w:r>
      <w:r w:rsidRPr="00667C97">
        <w:rPr>
          <w:vertAlign w:val="superscript"/>
        </w:rPr>
        <w:t>239</w:t>
      </w:r>
      <w:r w:rsidRPr="00B02A5A">
        <w:t>Pu concentrations east of the 2 km buffer zone were generally less than 18 Bq kg</w:t>
      </w:r>
      <w:r w:rsidR="00277696" w:rsidRPr="00667C97">
        <w:rPr>
          <w:caps/>
          <w:vertAlign w:val="superscript"/>
        </w:rPr>
        <w:t>−</w:t>
      </w:r>
      <w:r w:rsidRPr="00667C97">
        <w:rPr>
          <w:vertAlign w:val="superscript"/>
        </w:rPr>
        <w:t>1</w:t>
      </w:r>
      <w:r w:rsidRPr="00B02A5A">
        <w:t xml:space="preserve"> and decreased rapidly with distance east of the site. Within the buffer zone concentrations were as high as 185 Bq kg</w:t>
      </w:r>
      <w:r w:rsidR="00277696" w:rsidRPr="001D6B7A">
        <w:rPr>
          <w:caps/>
          <w:vertAlign w:val="superscript"/>
        </w:rPr>
        <w:t>−</w:t>
      </w:r>
      <w:r w:rsidRPr="00667C97">
        <w:rPr>
          <w:vertAlign w:val="superscript"/>
        </w:rPr>
        <w:t>1</w:t>
      </w:r>
      <w:r w:rsidRPr="00B02A5A">
        <w:t>, and</w:t>
      </w:r>
      <w:r w:rsidR="00354EF9">
        <w:t>,</w:t>
      </w:r>
      <w:r w:rsidRPr="00B02A5A">
        <w:t xml:space="preserve"> near the 903 Pad and in the industrial area, concentrations exceeded 30,000 Bq kg</w:t>
      </w:r>
      <w:r w:rsidR="00277696" w:rsidRPr="001D6B7A">
        <w:rPr>
          <w:caps/>
          <w:vertAlign w:val="superscript"/>
        </w:rPr>
        <w:t>−</w:t>
      </w:r>
      <w:r w:rsidRPr="00667C97">
        <w:rPr>
          <w:vertAlign w:val="superscript"/>
        </w:rPr>
        <w:t>1</w:t>
      </w:r>
      <w:r w:rsidRPr="00B02A5A">
        <w:t xml:space="preserve">. Soil contamination above the average fallout levels in soil (2.2 Bq </w:t>
      </w:r>
      <w:proofErr w:type="gramStart"/>
      <w:r w:rsidRPr="00B02A5A">
        <w:t>kg</w:t>
      </w:r>
      <w:r w:rsidR="00277696" w:rsidRPr="001D6B7A">
        <w:rPr>
          <w:caps/>
          <w:vertAlign w:val="superscript"/>
        </w:rPr>
        <w:t>−</w:t>
      </w:r>
      <w:r w:rsidRPr="00667C97">
        <w:rPr>
          <w:vertAlign w:val="superscript"/>
        </w:rPr>
        <w:t>1</w:t>
      </w:r>
      <w:proofErr w:type="gramEnd"/>
      <w:r w:rsidRPr="00B02A5A">
        <w:t xml:space="preserve">) extended as far as 5 km east </w:t>
      </w:r>
      <w:r w:rsidR="00417E22">
        <w:t>of</w:t>
      </w:r>
      <w:r w:rsidRPr="00B02A5A">
        <w:t xml:space="preserve"> the 903 Pad (Rood and Grogan, 1999).</w:t>
      </w:r>
    </w:p>
    <w:p w14:paraId="14CB97F3" w14:textId="54065105" w:rsidR="003E169A" w:rsidRPr="000B7E48" w:rsidRDefault="000B7E48" w:rsidP="000B7E48">
      <w:pPr>
        <w:pStyle w:val="ICRPannexheading3"/>
        <w:spacing w:before="240" w:after="240"/>
        <w:rPr>
          <w:b/>
          <w:bCs/>
        </w:rPr>
      </w:pPr>
      <w:r w:rsidRPr="000B7E48">
        <w:rPr>
          <w:rFonts w:eastAsiaTheme="minorEastAsia"/>
          <w:b/>
          <w:bCs/>
          <w:lang w:eastAsia="ja-JP"/>
        </w:rPr>
        <w:t>History</w:t>
      </w:r>
      <w:r w:rsidR="003E169A" w:rsidRPr="000B7E48">
        <w:rPr>
          <w:b/>
          <w:bCs/>
        </w:rPr>
        <w:t xml:space="preserve"> </w:t>
      </w:r>
      <w:r w:rsidRPr="000B7E48">
        <w:rPr>
          <w:rFonts w:eastAsiaTheme="minorEastAsia"/>
          <w:b/>
          <w:bCs/>
          <w:lang w:eastAsia="ja-JP"/>
        </w:rPr>
        <w:t>of</w:t>
      </w:r>
      <w:r w:rsidR="003E169A" w:rsidRPr="000B7E48">
        <w:rPr>
          <w:b/>
          <w:bCs/>
        </w:rPr>
        <w:t xml:space="preserve"> </w:t>
      </w:r>
      <w:r w:rsidRPr="000B7E48">
        <w:rPr>
          <w:rFonts w:eastAsiaTheme="minorEastAsia"/>
          <w:b/>
          <w:bCs/>
          <w:lang w:eastAsia="ja-JP"/>
        </w:rPr>
        <w:t>remedial</w:t>
      </w:r>
      <w:r w:rsidR="003E169A" w:rsidRPr="000B7E48">
        <w:rPr>
          <w:b/>
          <w:bCs/>
        </w:rPr>
        <w:t xml:space="preserve"> </w:t>
      </w:r>
      <w:r w:rsidRPr="000B7E48">
        <w:rPr>
          <w:rFonts w:eastAsiaTheme="minorEastAsia"/>
          <w:b/>
          <w:bCs/>
          <w:lang w:eastAsia="ja-JP"/>
        </w:rPr>
        <w:t>actions</w:t>
      </w:r>
    </w:p>
    <w:p w14:paraId="6190FE5F" w14:textId="5313169B" w:rsidR="003E169A" w:rsidRPr="00B02A5A" w:rsidRDefault="003E169A" w:rsidP="00152521">
      <w:pPr>
        <w:pStyle w:val="ICRPannexparagraph"/>
      </w:pPr>
      <w:r w:rsidRPr="00B02A5A">
        <w:t>In 1996, the DOE, the Environmental Protection Agency (EPA)</w:t>
      </w:r>
      <w:r w:rsidR="00F05FB4">
        <w:t>,</w:t>
      </w:r>
      <w:r w:rsidRPr="00B02A5A">
        <w:t xml:space="preserve"> and the Colorado Department of Public Health and Environment (CDPHE) proposed interim radionuclide soil action levels to be used in the cleanup of the Rocky Flats site (DOE/EPA/CDPHE</w:t>
      </w:r>
      <w:r w:rsidR="00EB626E">
        <w:t>,</w:t>
      </w:r>
      <w:r w:rsidRPr="00B02A5A">
        <w:t xml:space="preserve"> 1996). The interim level for </w:t>
      </w:r>
      <w:r w:rsidRPr="00667C97">
        <w:rPr>
          <w:vertAlign w:val="superscript"/>
        </w:rPr>
        <w:t>239</w:t>
      </w:r>
      <w:r w:rsidRPr="00B02A5A">
        <w:t>Pu was 9320 Bq kg</w:t>
      </w:r>
      <w:r w:rsidR="00F05FB4" w:rsidRPr="00667C97">
        <w:rPr>
          <w:vertAlign w:val="superscript"/>
        </w:rPr>
        <w:t>−</w:t>
      </w:r>
      <w:r w:rsidRPr="00667C97">
        <w:rPr>
          <w:vertAlign w:val="superscript"/>
        </w:rPr>
        <w:t>1</w:t>
      </w:r>
      <w:r w:rsidRPr="00B02A5A">
        <w:t xml:space="preserve"> based on an annual dose of 0.15 mSv and 52,870 Bq kg</w:t>
      </w:r>
      <w:r w:rsidR="00F05FB4" w:rsidRPr="00667C97">
        <w:rPr>
          <w:vertAlign w:val="superscript"/>
        </w:rPr>
        <w:t>−</w:t>
      </w:r>
      <w:r w:rsidRPr="00667C97">
        <w:rPr>
          <w:vertAlign w:val="superscript"/>
        </w:rPr>
        <w:t>1</w:t>
      </w:r>
      <w:r w:rsidRPr="00B02A5A">
        <w:t xml:space="preserve"> based on an annual dose of 0.85 mSv for a residential exposure scenario.</w:t>
      </w:r>
    </w:p>
    <w:p w14:paraId="23EE5F36" w14:textId="0103C3ED" w:rsidR="003E169A" w:rsidRPr="00B02A5A" w:rsidRDefault="003E169A" w:rsidP="00152521">
      <w:pPr>
        <w:pStyle w:val="ICRPannexparagraph"/>
      </w:pPr>
      <w:r w:rsidRPr="00B02A5A">
        <w:t>As a result of public concern about the relatively high soil action levels established in October 1996 compared to cleanup levels at other sites</w:t>
      </w:r>
      <w:r w:rsidR="00082F13">
        <w:t>,</w:t>
      </w:r>
      <w:r w:rsidRPr="00B02A5A">
        <w:t xml:space="preserve"> the Radionuclide Soil Action Level Oversight Panel (RSALOP) was formed (Till et al., 2000). The RSALOP was a group of community members with considerable experience in Rocky Flats issues. In 1998, DOE provided funds for the RSALOP to select a contractor to conduct an independent assessment and to calculate radionuclide soil actions levels (RSALs) for the RF</w:t>
      </w:r>
      <w:r w:rsidR="002B7DCB">
        <w:t>P</w:t>
      </w:r>
      <w:r w:rsidRPr="00B02A5A">
        <w:t>. The contractor was to reevaluate soil action levels based on annual dose constrain</w:t>
      </w:r>
      <w:r w:rsidR="006816FC">
        <w:t>t</w:t>
      </w:r>
      <w:r w:rsidRPr="00B02A5A">
        <w:t>s of 0.15 mSv for unrestricted use and 0.85 mSv for restricted use. Calculations were to incorporate site-specific data and use documented and reviewed computer codes. An evaluation of uncertainty was also to be included</w:t>
      </w:r>
      <w:r w:rsidR="00830CD5">
        <w:t>.</w:t>
      </w:r>
    </w:p>
    <w:p w14:paraId="1D8423F1" w14:textId="4669E5A4" w:rsidR="003E169A" w:rsidRPr="005F11DB" w:rsidRDefault="005F11DB" w:rsidP="005F11DB">
      <w:pPr>
        <w:pStyle w:val="ICRPannexheading3"/>
        <w:numPr>
          <w:ilvl w:val="0"/>
          <w:numId w:val="0"/>
        </w:numPr>
        <w:spacing w:before="240" w:after="240"/>
        <w:rPr>
          <w:i/>
          <w:iCs/>
        </w:rPr>
      </w:pPr>
      <w:r w:rsidRPr="005F11DB">
        <w:rPr>
          <w:i/>
          <w:iCs/>
        </w:rPr>
        <w:t xml:space="preserve">A.1.4.1. </w:t>
      </w:r>
      <w:r w:rsidR="003E169A" w:rsidRPr="005F11DB">
        <w:rPr>
          <w:i/>
          <w:iCs/>
        </w:rPr>
        <w:t xml:space="preserve">Stakeholder </w:t>
      </w:r>
      <w:r w:rsidR="000B7E48" w:rsidRPr="005F11DB">
        <w:rPr>
          <w:i/>
          <w:iCs/>
        </w:rPr>
        <w:t>i</w:t>
      </w:r>
      <w:r w:rsidR="003E169A" w:rsidRPr="005F11DB">
        <w:rPr>
          <w:i/>
          <w:iCs/>
        </w:rPr>
        <w:t>nvolvement</w:t>
      </w:r>
    </w:p>
    <w:p w14:paraId="14716EAE" w14:textId="175C60B1" w:rsidR="003E169A" w:rsidRPr="00B02A5A" w:rsidRDefault="003E169A" w:rsidP="00152521">
      <w:pPr>
        <w:pStyle w:val="ICRPannexparagraph"/>
      </w:pPr>
      <w:r w:rsidRPr="00B02A5A">
        <w:t xml:space="preserve">Stakeholder involvement was particularly relevant in this study because of the perceived impact the cleanup levels would have on the local communities surrounding the site. Stakeholders included the public officials, DOE personnel, and the </w:t>
      </w:r>
      <w:proofErr w:type="gramStart"/>
      <w:r w:rsidRPr="00B02A5A">
        <w:t>general public</w:t>
      </w:r>
      <w:proofErr w:type="gramEnd"/>
      <w:r w:rsidRPr="00B02A5A">
        <w:t>. Stakeholders were kept informed of the progress and technical review of the work during the entire project th</w:t>
      </w:r>
      <w:r w:rsidR="00C91202">
        <w:t>r</w:t>
      </w:r>
      <w:r w:rsidRPr="00B02A5A">
        <w:t>ough three public meetings, a technical workshop, and monthly meeting</w:t>
      </w:r>
      <w:r w:rsidR="00CD5420">
        <w:t>s</w:t>
      </w:r>
      <w:r w:rsidRPr="00B02A5A">
        <w:t xml:space="preserve"> with the panel</w:t>
      </w:r>
      <w:r w:rsidR="00CD5420">
        <w:t>,</w:t>
      </w:r>
      <w:r w:rsidRPr="00B02A5A">
        <w:t xml:space="preserve"> which were also open to the public. Five peer reviewers from around the country, contracted by the RSALOP, </w:t>
      </w:r>
      <w:proofErr w:type="gramStart"/>
      <w:r w:rsidRPr="00B02A5A">
        <w:t>reviewed</w:t>
      </w:r>
      <w:proofErr w:type="gramEnd"/>
      <w:r w:rsidRPr="00B02A5A">
        <w:t xml:space="preserve"> and provided written comments on each of </w:t>
      </w:r>
      <w:r w:rsidR="00B84C4B">
        <w:t xml:space="preserve">the </w:t>
      </w:r>
      <w:r w:rsidR="00B771B8">
        <w:t>f</w:t>
      </w:r>
      <w:r w:rsidRPr="00B02A5A">
        <w:t xml:space="preserve">ive </w:t>
      </w:r>
      <w:r w:rsidRPr="00B02A5A">
        <w:lastRenderedPageBreak/>
        <w:t xml:space="preserve">technical reports. Written comments from panel members, DOE personnel, and members of </w:t>
      </w:r>
      <w:r w:rsidR="00B771B8">
        <w:t xml:space="preserve">the </w:t>
      </w:r>
      <w:r w:rsidRPr="00B02A5A">
        <w:t>public were also formally addressed. This process helped identify areas of concern that were not already considered and allowed those concerns to be addressed within the context of the work. The final reports reflected changes made in response to comments received from reviewers. The process of public interaction and review took place throughout the entire project and provided a valuable means for identifying issues that were critical for the public and other stakeholders.</w:t>
      </w:r>
    </w:p>
    <w:p w14:paraId="196A60A5" w14:textId="7C0D88CE" w:rsidR="003E169A" w:rsidRPr="005F11DB" w:rsidRDefault="005F11DB" w:rsidP="005F11DB">
      <w:pPr>
        <w:pStyle w:val="ICRPannexheading3"/>
        <w:numPr>
          <w:ilvl w:val="0"/>
          <w:numId w:val="0"/>
        </w:numPr>
        <w:spacing w:before="240" w:after="240"/>
        <w:rPr>
          <w:i/>
          <w:iCs/>
        </w:rPr>
      </w:pPr>
      <w:r w:rsidRPr="005F11DB">
        <w:rPr>
          <w:i/>
          <w:iCs/>
        </w:rPr>
        <w:t>A.1.4.</w:t>
      </w:r>
      <w:r>
        <w:rPr>
          <w:i/>
          <w:iCs/>
        </w:rPr>
        <w:t>2</w:t>
      </w:r>
      <w:r w:rsidRPr="005F11DB">
        <w:rPr>
          <w:i/>
          <w:iCs/>
        </w:rPr>
        <w:t xml:space="preserve">. </w:t>
      </w:r>
      <w:r w:rsidR="003E169A" w:rsidRPr="005F11DB">
        <w:rPr>
          <w:i/>
          <w:iCs/>
        </w:rPr>
        <w:t xml:space="preserve">Estimating </w:t>
      </w:r>
      <w:r w:rsidR="000B7E48" w:rsidRPr="005F11DB">
        <w:rPr>
          <w:i/>
          <w:iCs/>
        </w:rPr>
        <w:t>s</w:t>
      </w:r>
      <w:r w:rsidR="003E169A" w:rsidRPr="005F11DB">
        <w:rPr>
          <w:i/>
          <w:iCs/>
        </w:rPr>
        <w:t xml:space="preserve">oil </w:t>
      </w:r>
      <w:r w:rsidR="000B7E48" w:rsidRPr="005F11DB">
        <w:rPr>
          <w:i/>
          <w:iCs/>
        </w:rPr>
        <w:t>a</w:t>
      </w:r>
      <w:r w:rsidR="003E169A" w:rsidRPr="005F11DB">
        <w:rPr>
          <w:i/>
          <w:iCs/>
        </w:rPr>
        <w:t xml:space="preserve">ction </w:t>
      </w:r>
      <w:r w:rsidR="000B7E48" w:rsidRPr="005F11DB">
        <w:rPr>
          <w:i/>
          <w:iCs/>
        </w:rPr>
        <w:t>l</w:t>
      </w:r>
      <w:r w:rsidR="003E169A" w:rsidRPr="005F11DB">
        <w:rPr>
          <w:i/>
          <w:iCs/>
        </w:rPr>
        <w:t>evels</w:t>
      </w:r>
    </w:p>
    <w:p w14:paraId="210A4A92" w14:textId="2FA94BCD" w:rsidR="003E169A" w:rsidRPr="00B02A5A" w:rsidRDefault="003E169A" w:rsidP="00152521">
      <w:pPr>
        <w:pStyle w:val="ICRPannexparagraph"/>
      </w:pPr>
      <w:r w:rsidRPr="00B02A5A">
        <w:t>Determination of RSALs employed an adaptation of the RESRAD computer program with site-specific parameters and parametric uncertainty analysis. Inhalation of suspended contaminated soil was shown to be the domina</w:t>
      </w:r>
      <w:r w:rsidR="003B5A24">
        <w:t>n</w:t>
      </w:r>
      <w:r w:rsidRPr="00B02A5A">
        <w:t>t exposure pathway</w:t>
      </w:r>
      <w:r w:rsidR="008179F0">
        <w:t>,</w:t>
      </w:r>
      <w:r w:rsidRPr="00B02A5A">
        <w:t xml:space="preserve"> and rather than relying on default model parameters to determine </w:t>
      </w:r>
      <w:r w:rsidR="00996576">
        <w:t xml:space="preserve">the </w:t>
      </w:r>
      <w:r w:rsidRPr="00B02A5A">
        <w:t>suspension rate, a site-specific value was derived from routine air sampling data within and surrounding the RFP site. Furthermore, consideration of a wildfire across the site and its impact on suspension rates was also considered. The wildfire</w:t>
      </w:r>
      <w:r w:rsidR="00C143FF">
        <w:t xml:space="preserve"> scenario</w:t>
      </w:r>
      <w:r w:rsidR="00A77C4D">
        <w:t xml:space="preserve"> greatly impacted t</w:t>
      </w:r>
      <w:r w:rsidRPr="00B02A5A">
        <w:t xml:space="preserve">he </w:t>
      </w:r>
      <w:proofErr w:type="gramStart"/>
      <w:r w:rsidRPr="00B02A5A">
        <w:t>doses</w:t>
      </w:r>
      <w:proofErr w:type="gramEnd"/>
      <w:r w:rsidRPr="00B02A5A">
        <w:t xml:space="preserve"> and the model considered the probability of fire based on fire reoccurrence rates in the region. A parametric uncertainty analysis using Monte Carlo sampling was also performed</w:t>
      </w:r>
      <w:r w:rsidR="00BE1426">
        <w:t>,</w:t>
      </w:r>
      <w:r w:rsidRPr="00B02A5A">
        <w:t xml:space="preserve"> so results were presented as a probability distribution of exceeding the annual dose constraint of 0.15 mSv and 0.85 mSv for unrestricted and restricted use</w:t>
      </w:r>
      <w:r w:rsidR="00785169">
        <w:t>,</w:t>
      </w:r>
      <w:r w:rsidRPr="00B02A5A">
        <w:t xml:space="preserve"> respectively. Parameters considered stochastically were limited to physical transport mechanisms and soil concentrations. Exposure parameters were fixed at a deterministic value selected from the upper percentiles (i.e</w:t>
      </w:r>
      <w:r w:rsidR="00F7418B">
        <w:t>.</w:t>
      </w:r>
      <w:r w:rsidRPr="00B02A5A">
        <w:t xml:space="preserve"> 95%) from published distributions.</w:t>
      </w:r>
    </w:p>
    <w:p w14:paraId="22DB9876" w14:textId="1E572362" w:rsidR="003E169A" w:rsidRPr="00B02A5A" w:rsidRDefault="003E169A" w:rsidP="00152521">
      <w:pPr>
        <w:pStyle w:val="ICRPannexparagraph"/>
      </w:pPr>
      <w:r w:rsidRPr="00B02A5A">
        <w:t>Exposure scenarios were established through an iterative process with the RSALOP and members of the public. Six scenarios were initially considered</w:t>
      </w:r>
      <w:r w:rsidR="006341D1">
        <w:t>,</w:t>
      </w:r>
      <w:r w:rsidRPr="00B02A5A">
        <w:t xml:space="preserve"> but final recommendations were based on an onside resident rancher family</w:t>
      </w:r>
      <w:r w:rsidR="00B52F99">
        <w:t>,</w:t>
      </w:r>
      <w:r w:rsidRPr="00B02A5A">
        <w:t xml:space="preserve"> including an adult, child, and infant</w:t>
      </w:r>
      <w:r w:rsidR="00B52F99">
        <w:t>,</w:t>
      </w:r>
      <w:r w:rsidRPr="00B02A5A">
        <w:t xml:space="preserve"> and an annual 0.15 mSv dose constraint. This scenario</w:t>
      </w:r>
      <w:r w:rsidR="00CD5065">
        <w:t>,</w:t>
      </w:r>
      <w:r w:rsidRPr="00B02A5A">
        <w:t xml:space="preserve"> along with exposure parameters (i.e. breathing rate, ingestion rates, and exposure time)</w:t>
      </w:r>
      <w:r w:rsidR="003B28DA">
        <w:t>,</w:t>
      </w:r>
      <w:r w:rsidRPr="00B02A5A">
        <w:t xml:space="preserve"> were mutually agreed upon by the stakeholders. Additionally, stakeholders </w:t>
      </w:r>
      <w:r w:rsidR="00D4470F">
        <w:t xml:space="preserve">were asked to </w:t>
      </w:r>
      <w:r w:rsidRPr="00B02A5A">
        <w:t>cho</w:t>
      </w:r>
      <w:r w:rsidR="002E7655">
        <w:t>o</w:t>
      </w:r>
      <w:r w:rsidRPr="00B02A5A">
        <w:t>se a probability level at which dose constraints would be exceeded</w:t>
      </w:r>
      <w:r w:rsidR="00D4470F">
        <w:t xml:space="preserve"> (i.e. </w:t>
      </w:r>
      <w:r w:rsidRPr="00B02A5A">
        <w:t>the confidence that the model</w:t>
      </w:r>
      <w:r w:rsidR="003C0509">
        <w:t>l</w:t>
      </w:r>
      <w:r w:rsidRPr="00B02A5A">
        <w:t>ed doses w</w:t>
      </w:r>
      <w:r w:rsidR="003C0509">
        <w:t>ould</w:t>
      </w:r>
      <w:r w:rsidRPr="00B02A5A">
        <w:t xml:space="preserve"> not exceed the dose constraint</w:t>
      </w:r>
      <w:r w:rsidR="003C0509">
        <w:t>)</w:t>
      </w:r>
      <w:r w:rsidRPr="00B02A5A">
        <w:t xml:space="preserve">. When </w:t>
      </w:r>
      <w:r w:rsidR="00064589">
        <w:t xml:space="preserve">the </w:t>
      </w:r>
      <w:r w:rsidRPr="00B02A5A">
        <w:t>mode</w:t>
      </w:r>
      <w:r w:rsidR="00064589">
        <w:t>l</w:t>
      </w:r>
      <w:r w:rsidRPr="00B02A5A">
        <w:t>ling process and exposure parameter definition</w:t>
      </w:r>
      <w:r w:rsidR="000245F5">
        <w:t>s were explained to them</w:t>
      </w:r>
      <w:r w:rsidRPr="00B02A5A">
        <w:t>, they chose a 90% probability that the dose constraints would not be exceeded.</w:t>
      </w:r>
    </w:p>
    <w:p w14:paraId="5DB96EFC" w14:textId="4EC3C0E9" w:rsidR="003E169A" w:rsidRPr="00B02A5A" w:rsidRDefault="003E169A" w:rsidP="00152521">
      <w:pPr>
        <w:pStyle w:val="ICRPannexparagraph"/>
      </w:pPr>
      <w:r w:rsidRPr="00B02A5A">
        <w:t xml:space="preserve">Transparency was maintained throughout the project. Through the monthly meetings, stakeholders were presented with </w:t>
      </w:r>
      <w:r w:rsidR="00676BB6">
        <w:t xml:space="preserve">the </w:t>
      </w:r>
      <w:r w:rsidRPr="00B02A5A">
        <w:t>progress of the technical aspects of the work and provide</w:t>
      </w:r>
      <w:r w:rsidR="00676BB6">
        <w:t>d</w:t>
      </w:r>
      <w:r w:rsidRPr="00B02A5A">
        <w:t xml:space="preserve"> </w:t>
      </w:r>
      <w:r w:rsidR="00676BB6">
        <w:t xml:space="preserve">an opportunity for </w:t>
      </w:r>
      <w:r w:rsidRPr="00B02A5A">
        <w:t>input. Results were presented for all the exposure scenarios, but the focus was directed toward the rancher scenario</w:t>
      </w:r>
      <w:r w:rsidR="005C6C57">
        <w:t>, whic</w:t>
      </w:r>
      <w:r w:rsidR="00D74F89">
        <w:t>h</w:t>
      </w:r>
      <w:r w:rsidRPr="00B02A5A">
        <w:t xml:space="preserve"> w</w:t>
      </w:r>
      <w:r w:rsidR="00F32917">
        <w:t>as</w:t>
      </w:r>
      <w:r w:rsidRPr="00B02A5A">
        <w:t xml:space="preserve"> shown to be the most limiting. The recommended </w:t>
      </w:r>
      <w:r w:rsidRPr="00667C97">
        <w:rPr>
          <w:vertAlign w:val="superscript"/>
        </w:rPr>
        <w:t>239</w:t>
      </w:r>
      <w:r w:rsidRPr="00B02A5A">
        <w:t>Pu soil action level was 1295 Bq kg</w:t>
      </w:r>
      <w:r w:rsidR="00F05FB4" w:rsidRPr="00667C97">
        <w:rPr>
          <w:vertAlign w:val="superscript"/>
        </w:rPr>
        <w:t>−</w:t>
      </w:r>
      <w:r w:rsidRPr="00667C97">
        <w:rPr>
          <w:vertAlign w:val="superscript"/>
        </w:rPr>
        <w:t>1</w:t>
      </w:r>
      <w:r w:rsidRPr="00B02A5A">
        <w:t xml:space="preserve"> for </w:t>
      </w:r>
      <w:r w:rsidR="00267E04">
        <w:t xml:space="preserve">a </w:t>
      </w:r>
      <w:r w:rsidRPr="00B02A5A">
        <w:t>10% probability of exceedance of the 0.15 mSv annual dose constraint</w:t>
      </w:r>
      <w:r w:rsidR="006175A1">
        <w:t xml:space="preserve"> (RAC, 2000)</w:t>
      </w:r>
      <w:r w:rsidRPr="00B02A5A">
        <w:t xml:space="preserve">. The actual level </w:t>
      </w:r>
      <w:r w:rsidR="00BA7C26">
        <w:t xml:space="preserve">agreed upon </w:t>
      </w:r>
      <w:r w:rsidR="00670129">
        <w:t>of 1800 Bq</w:t>
      </w:r>
      <w:r w:rsidR="00137353">
        <w:t xml:space="preserve"> </w:t>
      </w:r>
      <w:r w:rsidR="003922AE">
        <w:t>kg</w:t>
      </w:r>
      <w:r w:rsidR="00F05FB4" w:rsidRPr="00F05FB4">
        <w:rPr>
          <w:vertAlign w:val="superscript"/>
        </w:rPr>
        <w:t>−</w:t>
      </w:r>
      <w:r w:rsidR="00590EB9">
        <w:rPr>
          <w:vertAlign w:val="superscript"/>
        </w:rPr>
        <w:t>1</w:t>
      </w:r>
      <w:r w:rsidR="00590EB9">
        <w:t xml:space="preserve"> </w:t>
      </w:r>
      <w:r w:rsidRPr="00B02A5A">
        <w:t xml:space="preserve">was </w:t>
      </w:r>
      <w:r w:rsidR="00FF5FCD">
        <w:t xml:space="preserve">arrived at through negotiations </w:t>
      </w:r>
      <w:r w:rsidR="00FE0563">
        <w:t xml:space="preserve">among </w:t>
      </w:r>
      <w:r w:rsidRPr="00B02A5A">
        <w:t>EPA</w:t>
      </w:r>
      <w:r w:rsidR="0092168C">
        <w:t>, DOE</w:t>
      </w:r>
      <w:r w:rsidR="00F05FB4">
        <w:rPr>
          <w:rFonts w:hint="eastAsia"/>
        </w:rPr>
        <w:t>,</w:t>
      </w:r>
      <w:r w:rsidR="0092168C">
        <w:t xml:space="preserve"> and other stakeholders. This level reflected </w:t>
      </w:r>
      <w:r w:rsidR="00470A58">
        <w:t xml:space="preserve">the designation of the site as a wildlife refuge, </w:t>
      </w:r>
      <w:r w:rsidR="003257B9">
        <w:t xml:space="preserve">reflecting consideration </w:t>
      </w:r>
      <w:r w:rsidR="00D87782">
        <w:t xml:space="preserve">of </w:t>
      </w:r>
      <w:r w:rsidR="00470A58">
        <w:t>minimising</w:t>
      </w:r>
      <w:r w:rsidR="00D87782">
        <w:t xml:space="preserve"> soil disturbance during remediation, cost, and technical feasibility</w:t>
      </w:r>
      <w:r w:rsidR="00874256">
        <w:t>.</w:t>
      </w:r>
      <w:r w:rsidR="00267E04">
        <w:t xml:space="preserve"> </w:t>
      </w:r>
    </w:p>
    <w:p w14:paraId="0F4C469F" w14:textId="435FD150" w:rsidR="003E169A" w:rsidRPr="000B7E48" w:rsidRDefault="000B7E48" w:rsidP="000B7E48">
      <w:pPr>
        <w:pStyle w:val="ICRPannexheading3"/>
        <w:spacing w:before="240" w:after="240"/>
        <w:rPr>
          <w:b/>
          <w:bCs/>
        </w:rPr>
      </w:pPr>
      <w:r w:rsidRPr="000B7E48">
        <w:rPr>
          <w:rFonts w:eastAsiaTheme="minorEastAsia"/>
          <w:b/>
          <w:bCs/>
          <w:lang w:eastAsia="ja-JP"/>
        </w:rPr>
        <w:t>Selected</w:t>
      </w:r>
      <w:r w:rsidR="003E169A" w:rsidRPr="000B7E48">
        <w:rPr>
          <w:b/>
          <w:bCs/>
        </w:rPr>
        <w:t xml:space="preserve"> </w:t>
      </w:r>
      <w:r w:rsidRPr="000B7E48">
        <w:rPr>
          <w:rFonts w:eastAsiaTheme="minorEastAsia"/>
          <w:b/>
          <w:bCs/>
          <w:lang w:eastAsia="ja-JP"/>
        </w:rPr>
        <w:t>remedy</w:t>
      </w:r>
    </w:p>
    <w:p w14:paraId="71D8E11A" w14:textId="2092160A" w:rsidR="003E169A" w:rsidRPr="00B02A5A" w:rsidRDefault="003E169A" w:rsidP="00152521">
      <w:pPr>
        <w:pStyle w:val="ICRPannexparagraph"/>
      </w:pPr>
      <w:r w:rsidRPr="00B02A5A">
        <w:t>The RFP was remediated by the EPA under the Superfund program. The site was separated into two operable units (OU): 1) the 5.29 km</w:t>
      </w:r>
      <w:r w:rsidRPr="00667C97">
        <w:rPr>
          <w:vertAlign w:val="superscript"/>
        </w:rPr>
        <w:t>2</w:t>
      </w:r>
      <w:r w:rsidRPr="00B02A5A">
        <w:t xml:space="preserve"> Central OU that includes the industrial area</w:t>
      </w:r>
      <w:r w:rsidR="00F05FB4">
        <w:t>;</w:t>
      </w:r>
      <w:r w:rsidRPr="00B02A5A">
        <w:t xml:space="preserve"> and </w:t>
      </w:r>
      <w:r w:rsidR="00F05FB4">
        <w:t xml:space="preserve">2) </w:t>
      </w:r>
      <w:r w:rsidRPr="00B02A5A">
        <w:t>the 19.7 km</w:t>
      </w:r>
      <w:r w:rsidRPr="00667C97">
        <w:rPr>
          <w:vertAlign w:val="superscript"/>
        </w:rPr>
        <w:t>2</w:t>
      </w:r>
      <w:r w:rsidRPr="00B02A5A">
        <w:t xml:space="preserve"> Peripheral OU that includes the buffer area. Land within the industrial area was the most heavily contaminated and w</w:t>
      </w:r>
      <w:r w:rsidR="002B43D5">
        <w:t>as</w:t>
      </w:r>
      <w:r w:rsidRPr="00B02A5A">
        <w:t xml:space="preserve"> cleaned up to the RSALs developed during </w:t>
      </w:r>
      <w:r w:rsidRPr="00B02A5A">
        <w:lastRenderedPageBreak/>
        <w:t>the RSALOP program (</w:t>
      </w:r>
      <w:r w:rsidRPr="00667C97">
        <w:rPr>
          <w:vertAlign w:val="superscript"/>
        </w:rPr>
        <w:t>239</w:t>
      </w:r>
      <w:r w:rsidRPr="00B02A5A">
        <w:t xml:space="preserve">Pu soil concentration of 1800 Bq </w:t>
      </w:r>
      <w:proofErr w:type="gramStart"/>
      <w:r w:rsidRPr="00B02A5A">
        <w:t>kg</w:t>
      </w:r>
      <w:r w:rsidR="00055E00" w:rsidRPr="00667C97">
        <w:rPr>
          <w:vertAlign w:val="superscript"/>
        </w:rPr>
        <w:t>−</w:t>
      </w:r>
      <w:r w:rsidRPr="00667C97">
        <w:rPr>
          <w:vertAlign w:val="superscript"/>
        </w:rPr>
        <w:t>1</w:t>
      </w:r>
      <w:proofErr w:type="gramEnd"/>
      <w:r w:rsidRPr="00B02A5A">
        <w:t xml:space="preserve">). Contamination in the buffer zone and offsite properties were below the RSALs and did not require further remediation. In 2006, the EPA determined no further cleanup was necessary. The site property has since become a wildlife </w:t>
      </w:r>
      <w:r w:rsidR="00376972">
        <w:t>refuge</w:t>
      </w:r>
      <w:r w:rsidRPr="00B02A5A">
        <w:t>.</w:t>
      </w:r>
    </w:p>
    <w:p w14:paraId="525C0FAC" w14:textId="5AB1253B" w:rsidR="003E169A" w:rsidRPr="000B7E48" w:rsidRDefault="000B7E48" w:rsidP="000B7E48">
      <w:pPr>
        <w:pStyle w:val="ICRPannexheading3"/>
        <w:spacing w:before="240" w:after="240"/>
        <w:rPr>
          <w:b/>
          <w:bCs/>
        </w:rPr>
      </w:pPr>
      <w:r w:rsidRPr="000B7E48">
        <w:rPr>
          <w:rFonts w:eastAsiaTheme="minorEastAsia"/>
          <w:b/>
          <w:bCs/>
          <w:lang w:eastAsia="ja-JP"/>
        </w:rPr>
        <w:t>Summary</w:t>
      </w:r>
    </w:p>
    <w:p w14:paraId="30D21A25" w14:textId="65A523D6" w:rsidR="003E169A" w:rsidRPr="00685042" w:rsidRDefault="003E169A" w:rsidP="00152521">
      <w:pPr>
        <w:pStyle w:val="ICRPannexparagraph"/>
        <w:rPr>
          <w:szCs w:val="24"/>
        </w:rPr>
      </w:pPr>
      <w:r w:rsidRPr="00B02A5A">
        <w:t xml:space="preserve">The success of the development of the RSALS was attributed to beginning the study with public involvement in mind.  The RSALOP was brought along with every phase of the technical work including model selection, scenario definition, assumptions, and parameter values. The public and stakeholders </w:t>
      </w:r>
      <w:r w:rsidR="009C1027">
        <w:t xml:space="preserve">were able to </w:t>
      </w:r>
      <w:r w:rsidRPr="00B02A5A">
        <w:t xml:space="preserve">understand technical aspects of the work (e.g. probability distributions) </w:t>
      </w:r>
      <w:r w:rsidR="009C1027">
        <w:t>taking account of</w:t>
      </w:r>
      <w:r w:rsidRPr="00B02A5A">
        <w:t xml:space="preserve"> the time taken to explain and educate through monthly meetings and workshops. This process established acceptance and ownership of the RSALs developed during the program by the RSALOP and the stakeholders</w:t>
      </w:r>
      <w:r w:rsidRPr="00685042">
        <w:rPr>
          <w:color w:val="000000"/>
        </w:rPr>
        <w:t>.</w:t>
      </w:r>
    </w:p>
    <w:p w14:paraId="0D015F50" w14:textId="6938EF71" w:rsidR="00257990" w:rsidRDefault="00257990" w:rsidP="00BA03BB">
      <w:pPr>
        <w:pStyle w:val="ICRPannexheading2"/>
        <w:ind w:left="576"/>
        <w:rPr>
          <w:lang w:val="en-US"/>
        </w:rPr>
      </w:pPr>
      <w:bookmarkStart w:id="116" w:name="_Toc166586822"/>
      <w:r w:rsidRPr="00AF2A12">
        <w:rPr>
          <w:lang w:val="en-US"/>
        </w:rPr>
        <w:t xml:space="preserve">Rehabilitation of the </w:t>
      </w:r>
      <w:r w:rsidR="00793036">
        <w:rPr>
          <w:lang w:val="en-US"/>
        </w:rPr>
        <w:t>f</w:t>
      </w:r>
      <w:r w:rsidRPr="00AF2A12">
        <w:rPr>
          <w:lang w:val="en-US"/>
        </w:rPr>
        <w:t xml:space="preserve">ormer </w:t>
      </w:r>
      <w:r w:rsidR="00793036">
        <w:rPr>
          <w:lang w:val="en-US"/>
        </w:rPr>
        <w:t>n</w:t>
      </w:r>
      <w:r w:rsidRPr="00AF2A12">
        <w:rPr>
          <w:lang w:val="en-US"/>
        </w:rPr>
        <w:t xml:space="preserve">uclear </w:t>
      </w:r>
      <w:r w:rsidR="00793036">
        <w:rPr>
          <w:lang w:val="en-US"/>
        </w:rPr>
        <w:t>t</w:t>
      </w:r>
      <w:r w:rsidRPr="00AF2A12">
        <w:rPr>
          <w:lang w:val="en-US"/>
        </w:rPr>
        <w:t xml:space="preserve">est </w:t>
      </w:r>
      <w:r w:rsidR="00793036">
        <w:rPr>
          <w:lang w:val="en-US"/>
        </w:rPr>
        <w:t>s</w:t>
      </w:r>
      <w:r w:rsidRPr="00AF2A12">
        <w:rPr>
          <w:lang w:val="en-US"/>
        </w:rPr>
        <w:t>ite at Maralinga</w:t>
      </w:r>
      <w:bookmarkEnd w:id="116"/>
    </w:p>
    <w:p w14:paraId="35819D0D" w14:textId="7362B3FA" w:rsidR="00257990" w:rsidRPr="00BA03BB" w:rsidRDefault="00BA03BB" w:rsidP="00257990">
      <w:pPr>
        <w:pStyle w:val="ICRPannexheading3"/>
        <w:spacing w:before="240" w:after="240"/>
        <w:rPr>
          <w:b/>
          <w:bCs/>
        </w:rPr>
      </w:pPr>
      <w:r w:rsidRPr="00BA03BB">
        <w:rPr>
          <w:rFonts w:eastAsiaTheme="minorEastAsia"/>
          <w:b/>
          <w:bCs/>
          <w:lang w:eastAsia="ja-JP"/>
        </w:rPr>
        <w:t>Background</w:t>
      </w:r>
      <w:r w:rsidR="00257990" w:rsidRPr="00BA03BB">
        <w:rPr>
          <w:b/>
          <w:bCs/>
        </w:rPr>
        <w:t xml:space="preserve"> </w:t>
      </w:r>
    </w:p>
    <w:p w14:paraId="75642A6B" w14:textId="08C20237" w:rsidR="00257990" w:rsidRDefault="00257990" w:rsidP="00257990">
      <w:pPr>
        <w:pStyle w:val="ICRPannexparagraph"/>
      </w:pPr>
      <w:r>
        <w:t>During the 1950s, the British conducted 12 nuclear weapons tests in Australia (Symonds</w:t>
      </w:r>
      <w:r w:rsidR="00EB626E">
        <w:t>,</w:t>
      </w:r>
      <w:r>
        <w:t xml:space="preserve"> 1985). These included three at the Monte Bello Islands in Western Australia (WA), two at Emu Field in South Australia (SA), and seven at Maralinga in SA. In addition to the major tests at Maralinga, approximately 600 ‘minor trials’, in several series, were carried out between 1953 and 1963. These so-called ‘minor trials’ were to investigate the explosive compression of fissile material and, later, the safety implications of fire or accidental detonation of nuclear weapons. These trials involved tens of kilograms of plutonium and several tons of uranium in chemical explosions.</w:t>
      </w:r>
    </w:p>
    <w:p w14:paraId="35460FEE" w14:textId="464D520A" w:rsidR="00257990" w:rsidRPr="0023079B" w:rsidRDefault="0023079B" w:rsidP="0023079B">
      <w:pPr>
        <w:pStyle w:val="ICRPannexheading3"/>
        <w:spacing w:before="240" w:after="240"/>
        <w:rPr>
          <w:b/>
          <w:bCs/>
        </w:rPr>
      </w:pPr>
      <w:r w:rsidRPr="0023079B">
        <w:rPr>
          <w:rFonts w:eastAsiaTheme="minorEastAsia"/>
          <w:b/>
          <w:bCs/>
          <w:lang w:eastAsia="ja-JP"/>
        </w:rPr>
        <w:t>Exposure</w:t>
      </w:r>
      <w:r w:rsidR="00257990" w:rsidRPr="0023079B">
        <w:rPr>
          <w:b/>
          <w:bCs/>
        </w:rPr>
        <w:t xml:space="preserve"> </w:t>
      </w:r>
      <w:r w:rsidRPr="0023079B">
        <w:rPr>
          <w:rFonts w:eastAsiaTheme="minorEastAsia"/>
          <w:b/>
          <w:bCs/>
          <w:lang w:eastAsia="ja-JP"/>
        </w:rPr>
        <w:t>pathways</w:t>
      </w:r>
      <w:r w:rsidR="00257990" w:rsidRPr="0023079B">
        <w:rPr>
          <w:b/>
          <w:bCs/>
        </w:rPr>
        <w:t xml:space="preserve"> </w:t>
      </w:r>
      <w:r w:rsidRPr="0023079B">
        <w:rPr>
          <w:b/>
          <w:bCs/>
        </w:rPr>
        <w:t>of</w:t>
      </w:r>
      <w:r w:rsidR="00257990" w:rsidRPr="0023079B">
        <w:rPr>
          <w:b/>
          <w:bCs/>
        </w:rPr>
        <w:t xml:space="preserve"> </w:t>
      </w:r>
      <w:r w:rsidRPr="0023079B">
        <w:rPr>
          <w:rFonts w:eastAsiaTheme="minorEastAsia"/>
          <w:b/>
          <w:bCs/>
          <w:lang w:eastAsia="ja-JP"/>
        </w:rPr>
        <w:t>concern</w:t>
      </w:r>
      <w:r w:rsidR="00257990" w:rsidRPr="0023079B">
        <w:rPr>
          <w:b/>
          <w:bCs/>
        </w:rPr>
        <w:t xml:space="preserve"> </w:t>
      </w:r>
    </w:p>
    <w:p w14:paraId="5BDDF606" w14:textId="6768E900" w:rsidR="00257990" w:rsidRDefault="00257990" w:rsidP="00BA03BB">
      <w:pPr>
        <w:pStyle w:val="ICRPannexparagraph"/>
      </w:pPr>
      <w:r>
        <w:t>Various scientific surveys and assessments were conducted at these nuclear weapons test sites during the 1970s and 1980s (AIRAC</w:t>
      </w:r>
      <w:r w:rsidR="00B619B9">
        <w:t>,</w:t>
      </w:r>
      <w:r>
        <w:t xml:space="preserve"> 1979, 1983). Detailed studies of the Maralinga site, carried out during the 1980s, indicated that earlier judgments and decisions about Maralinga and the need for remediation had been based on limited and deficient information (Johnson et al</w:t>
      </w:r>
      <w:r w:rsidR="00950DDC">
        <w:t>.,</w:t>
      </w:r>
      <w:r>
        <w:t xml:space="preserve"> 1985).</w:t>
      </w:r>
    </w:p>
    <w:p w14:paraId="6D3438D7" w14:textId="77777777" w:rsidR="00257990" w:rsidRDefault="00257990" w:rsidP="00BA03BB">
      <w:pPr>
        <w:pStyle w:val="ICRPannexparagraph"/>
      </w:pPr>
      <w:r>
        <w:t>Prior to the 1980s, the exposure pathway considered was external exposure due to the fallout and activation products remaining at each of the test ground-zeros. By the 1980s, the external dose rates had fallen to near-background rates, except for areas within a hundred meters of the ground-zeros, due to radioactive decay.</w:t>
      </w:r>
    </w:p>
    <w:p w14:paraId="07758932" w14:textId="08367974" w:rsidR="00257990" w:rsidRDefault="00257990" w:rsidP="00BA03BB">
      <w:pPr>
        <w:pStyle w:val="ICRPannexparagraph"/>
      </w:pPr>
      <w:r>
        <w:t>However, the studies in the 1980s found that several tens of square kilometres were contaminated with plutonium from the ‘minor trials’ (EG&amp;G</w:t>
      </w:r>
      <w:r w:rsidR="00B619B9">
        <w:t>,</w:t>
      </w:r>
      <w:r>
        <w:t xml:space="preserve"> 1991). This contamination remained in the top few millimetres of the soil and comprised microscopic particles, presenting a potential hazard due to inhalation of dust.</w:t>
      </w:r>
    </w:p>
    <w:p w14:paraId="431CE4A8" w14:textId="77777777" w:rsidR="00257990" w:rsidRDefault="00257990" w:rsidP="00BA03BB">
      <w:pPr>
        <w:pStyle w:val="ICRPannexparagraph"/>
      </w:pPr>
      <w:r>
        <w:t xml:space="preserve">The studies also found that the areas immediately around where these trails had been conducted contained visible fragments and sub-millimetre particles contaminated with </w:t>
      </w:r>
      <w:proofErr w:type="spellStart"/>
      <w:r>
        <w:t>GBq</w:t>
      </w:r>
      <w:proofErr w:type="spellEnd"/>
      <w:r>
        <w:t>-levels of plutonium. Due to their high levels of activity, these fragments and particles presented potential ingestion and injection hazards.</w:t>
      </w:r>
    </w:p>
    <w:p w14:paraId="400201E1" w14:textId="743547E9" w:rsidR="00257990" w:rsidRDefault="00257990" w:rsidP="00257990">
      <w:pPr>
        <w:pStyle w:val="ICRPannexparagraph"/>
      </w:pPr>
      <w:r>
        <w:lastRenderedPageBreak/>
        <w:t>While the British had buried highly contaminated material at Maralinga, the burial pits were only a few meters deep and posed a significant radiological hazard as it remained in the biologically active part of the environment.</w:t>
      </w:r>
    </w:p>
    <w:p w14:paraId="61EBBE07" w14:textId="71E31A32" w:rsidR="00257990" w:rsidRPr="0023079B" w:rsidRDefault="0023079B" w:rsidP="0023079B">
      <w:pPr>
        <w:pStyle w:val="ICRPannexheading3"/>
        <w:spacing w:before="240" w:after="240"/>
        <w:rPr>
          <w:b/>
          <w:bCs/>
        </w:rPr>
      </w:pPr>
      <w:r w:rsidRPr="0023079B">
        <w:rPr>
          <w:rFonts w:eastAsiaTheme="minorEastAsia"/>
          <w:b/>
          <w:bCs/>
          <w:lang w:eastAsia="ja-JP"/>
        </w:rPr>
        <w:t>History</w:t>
      </w:r>
      <w:r w:rsidR="00257990" w:rsidRPr="0023079B">
        <w:rPr>
          <w:b/>
          <w:bCs/>
        </w:rPr>
        <w:t xml:space="preserve"> </w:t>
      </w:r>
      <w:r w:rsidRPr="0023079B">
        <w:rPr>
          <w:b/>
          <w:bCs/>
        </w:rPr>
        <w:t>of</w:t>
      </w:r>
      <w:r w:rsidR="00257990" w:rsidRPr="0023079B">
        <w:rPr>
          <w:b/>
          <w:bCs/>
        </w:rPr>
        <w:t xml:space="preserve"> </w:t>
      </w:r>
      <w:r w:rsidRPr="0023079B">
        <w:rPr>
          <w:rFonts w:eastAsiaTheme="minorEastAsia"/>
          <w:b/>
          <w:bCs/>
          <w:lang w:eastAsia="ja-JP"/>
        </w:rPr>
        <w:t>remedial</w:t>
      </w:r>
      <w:r w:rsidR="00257990" w:rsidRPr="0023079B">
        <w:rPr>
          <w:b/>
          <w:bCs/>
        </w:rPr>
        <w:t xml:space="preserve"> </w:t>
      </w:r>
      <w:r w:rsidRPr="0023079B">
        <w:rPr>
          <w:rFonts w:eastAsiaTheme="minorEastAsia"/>
          <w:b/>
          <w:bCs/>
          <w:lang w:eastAsia="ja-JP"/>
        </w:rPr>
        <w:t>action</w:t>
      </w:r>
      <w:r w:rsidR="00257990" w:rsidRPr="0023079B">
        <w:rPr>
          <w:b/>
          <w:bCs/>
        </w:rPr>
        <w:t xml:space="preserve"> </w:t>
      </w:r>
    </w:p>
    <w:p w14:paraId="2BE6014A" w14:textId="377C60FC" w:rsidR="00257990" w:rsidRDefault="00257990" w:rsidP="00BA03BB">
      <w:pPr>
        <w:pStyle w:val="ICRPannexparagraph"/>
      </w:pPr>
      <w:r w:rsidRPr="008279A6">
        <w:t>The contaminated land at Maralinga belonged to indigenous Aborigines who wished to resume ownership and use of the land. Having accepted assurances from the British government, Australia had no knowledge of the remaining problem until particles and fragments highly contaminated with uranium and plutonium/americium were discovered on and close to the surface, in large numbers over a wide area during a scientific site survey in May 1984</w:t>
      </w:r>
      <w:r>
        <w:t xml:space="preserve"> (Lokan</w:t>
      </w:r>
      <w:r w:rsidR="00B619B9">
        <w:t>,</w:t>
      </w:r>
      <w:r>
        <w:t xml:space="preserve"> 1985)</w:t>
      </w:r>
      <w:r w:rsidRPr="008279A6">
        <w:t>.</w:t>
      </w:r>
    </w:p>
    <w:p w14:paraId="31CC3931" w14:textId="59E553D5" w:rsidR="00257990" w:rsidRDefault="00257990" w:rsidP="00BA03BB">
      <w:pPr>
        <w:pStyle w:val="ICRPannexparagraph"/>
      </w:pPr>
      <w:r>
        <w:t>The findings from subsequent investigations were significant as it propelled the Australian Government to establish the McClelland Royal Commission into British Nuclear Tests in Australia (</w:t>
      </w:r>
      <w:r w:rsidRPr="00D65A32">
        <w:rPr>
          <w:iCs/>
          <w:color w:val="000000" w:themeColor="text1"/>
          <w:lang w:val="en-US"/>
        </w:rPr>
        <w:t>McClelland</w:t>
      </w:r>
      <w:r w:rsidR="00B619B9">
        <w:rPr>
          <w:iCs/>
          <w:color w:val="000000" w:themeColor="text1"/>
          <w:lang w:val="en-US"/>
        </w:rPr>
        <w:t>,</w:t>
      </w:r>
      <w:r>
        <w:t xml:space="preserve"> 1985). The Royal Commission recommended that the Australian Government establish a Technical Assessment Group (TAG) (TAG</w:t>
      </w:r>
      <w:r w:rsidR="00B619B9">
        <w:t>,</w:t>
      </w:r>
      <w:r>
        <w:t xml:space="preserve"> 1990) to advise on remediation options. The Royal Commission and subsequent political negotiations also lead to the British government </w:t>
      </w:r>
      <w:r w:rsidRPr="009D308F">
        <w:t xml:space="preserve">providing 20 million </w:t>
      </w:r>
      <w:r w:rsidR="009D308F" w:rsidRPr="009D308F">
        <w:t xml:space="preserve">GBP </w:t>
      </w:r>
      <w:r w:rsidRPr="009D308F">
        <w:t>as their contribution to the estimated cost of 104 million</w:t>
      </w:r>
      <w:r w:rsidR="009D308F" w:rsidRPr="009D308F">
        <w:t xml:space="preserve"> USD</w:t>
      </w:r>
      <w:r w:rsidRPr="009D308F">
        <w:t>, at November 1994</w:t>
      </w:r>
      <w:r>
        <w:t xml:space="preserve"> prices, for the rehabilitation project.</w:t>
      </w:r>
    </w:p>
    <w:p w14:paraId="02BAE751" w14:textId="77777777" w:rsidR="00257990" w:rsidRDefault="00257990" w:rsidP="00BA03BB">
      <w:pPr>
        <w:pStyle w:val="ICRPannexparagraph"/>
      </w:pPr>
      <w:r>
        <w:t xml:space="preserve">At the outset, a consultative group (MARTAC 2002) was formed, made up of representatives of the Commonwealth, SA, WA and UK Governments and members of the Maralinga </w:t>
      </w:r>
      <w:proofErr w:type="spellStart"/>
      <w:r>
        <w:t>Tjarutja</w:t>
      </w:r>
      <w:proofErr w:type="spellEnd"/>
      <w:r>
        <w:t>, traditional owners of land, and their legal representatives. The role of the group, which met regularly, was to serve as a forum to discuss all matters concerning test site rehabilitation. In addition, the Maralinga Indigenous people had a close involvement with the scientists from the TAG, especially through the anthropological and inhalation studies, which required their close cooperation. The role of the consultative group continued throughout the remediation program.</w:t>
      </w:r>
    </w:p>
    <w:p w14:paraId="1FB070A9" w14:textId="2A712D92" w:rsidR="00257990" w:rsidRDefault="00257990" w:rsidP="00257990">
      <w:pPr>
        <w:pStyle w:val="ICRPannexparagraph"/>
      </w:pPr>
      <w:r>
        <w:t xml:space="preserve">The TAG studies included an anthropological study of the diet and lifestyle of the Maralinga </w:t>
      </w:r>
      <w:proofErr w:type="spellStart"/>
      <w:r>
        <w:t>Tjarutja</w:t>
      </w:r>
      <w:proofErr w:type="spellEnd"/>
      <w:r>
        <w:t xml:space="preserve"> Aboriginal community, the distribution, surface concentration and resuspension properties of the plutonium contamination, and animal studies to assess the bioavailability of the plutonium following inhalation or ingestion and its translocation from wounds. These studies provided information against which better based remediation decisions could be made.</w:t>
      </w:r>
    </w:p>
    <w:p w14:paraId="5350A135" w14:textId="4DCDF8E1" w:rsidR="00257990" w:rsidRPr="0070530F" w:rsidRDefault="0070530F" w:rsidP="0070530F">
      <w:pPr>
        <w:pStyle w:val="ICRPannexheading3"/>
        <w:spacing w:before="240" w:after="240"/>
        <w:rPr>
          <w:b/>
          <w:bCs/>
        </w:rPr>
      </w:pPr>
      <w:r w:rsidRPr="0070530F">
        <w:rPr>
          <w:rFonts w:eastAsiaTheme="minorEastAsia"/>
          <w:b/>
          <w:bCs/>
          <w:lang w:eastAsia="ja-JP"/>
        </w:rPr>
        <w:t>Selected</w:t>
      </w:r>
      <w:r w:rsidR="00257990" w:rsidRPr="0070530F">
        <w:rPr>
          <w:b/>
          <w:bCs/>
        </w:rPr>
        <w:t xml:space="preserve"> </w:t>
      </w:r>
      <w:r w:rsidRPr="0070530F">
        <w:rPr>
          <w:rFonts w:eastAsiaTheme="minorEastAsia"/>
          <w:b/>
          <w:bCs/>
          <w:lang w:eastAsia="ja-JP"/>
        </w:rPr>
        <w:t>remedy</w:t>
      </w:r>
      <w:r w:rsidR="00257990" w:rsidRPr="0070530F">
        <w:rPr>
          <w:b/>
          <w:bCs/>
        </w:rPr>
        <w:t xml:space="preserve"> (</w:t>
      </w:r>
      <w:r w:rsidR="005E465C">
        <w:rPr>
          <w:b/>
          <w:bCs/>
        </w:rPr>
        <w:t xml:space="preserve">from </w:t>
      </w:r>
      <w:r w:rsidR="00D942D1">
        <w:rPr>
          <w:b/>
          <w:bCs/>
        </w:rPr>
        <w:t>‘</w:t>
      </w:r>
      <w:r w:rsidR="00D942D1" w:rsidRPr="00D942D1">
        <w:rPr>
          <w:b/>
          <w:bCs/>
        </w:rPr>
        <w:t>Rehabilitation of Former Nuclear Test Sites at Emu and Maralinga (Australia)</w:t>
      </w:r>
      <w:r w:rsidR="00D942D1">
        <w:rPr>
          <w:b/>
          <w:bCs/>
        </w:rPr>
        <w:t>’ report</w:t>
      </w:r>
      <w:r w:rsidR="00257990" w:rsidRPr="0070530F">
        <w:rPr>
          <w:b/>
          <w:bCs/>
        </w:rPr>
        <w:t>)</w:t>
      </w:r>
    </w:p>
    <w:p w14:paraId="5745416C" w14:textId="0A5FFA46" w:rsidR="00257990" w:rsidRDefault="00257990" w:rsidP="00BA03BB">
      <w:pPr>
        <w:pStyle w:val="ICRPannexparagraph"/>
      </w:pPr>
      <w:r>
        <w:t>Of particular concern to the consultative group was striking a balance between restrictions on land use and soil removal, which could have a significant devastating environmental and cultural impact. To guide rehabilitation discussions, TAG (TAG</w:t>
      </w:r>
      <w:r w:rsidR="001843F4">
        <w:t>,</w:t>
      </w:r>
      <w:r>
        <w:t xml:space="preserve"> 1990) proposed that the risk of fatal cancer from a uniform chronic exposure should not exceed 1 in 10,000 by the fiftieth year. This risk value corresponded to continuous exposure to 5 mSv per year from birth. The agreed solution, arrived at in consultation with the traditional owners, minimised the soil stripping required for contamination removal. This outcome resulted in a greater area of land with some restricted use, and compensation was made to recognise the impact.</w:t>
      </w:r>
    </w:p>
    <w:p w14:paraId="16EBBDE7" w14:textId="71D1BC28" w:rsidR="00257990" w:rsidRDefault="00257990" w:rsidP="00BA03BB">
      <w:pPr>
        <w:pStyle w:val="ICRPannexparagraph"/>
      </w:pPr>
      <w:r>
        <w:t>An outer boundary was established for the site with permanent warning signs. This boundary enclosed all areas where annual doses for permanent occupancy would exceed the value of 5 mSv. Land use restrictions, which would limit activities to ‘casual use’</w:t>
      </w:r>
      <w:r w:rsidR="001843F4">
        <w:t>,</w:t>
      </w:r>
      <w:r>
        <w:t xml:space="preserve"> such as </w:t>
      </w:r>
      <w:r>
        <w:lastRenderedPageBreak/>
        <w:t>transit and hunting with a much lower occupancy, would apply within this boundary. Within the area of restricted use, remediation – principally through the removal and disposal of heavily contaminated soil – would be undertaken. This was to ensure, for the restricted activities envisaged, the same dose and risk limits would apply.</w:t>
      </w:r>
    </w:p>
    <w:p w14:paraId="6CE10F72" w14:textId="77777777" w:rsidR="00257990" w:rsidRDefault="00257990" w:rsidP="00BA03BB">
      <w:pPr>
        <w:pStyle w:val="ICRPannexparagraph"/>
      </w:pPr>
      <w:r>
        <w:t>Before the remediation of Maralinga, certain areas were found to have inhalation dose rates that were too high to be acceptable under all but the most rigorously controlled circumstances. These areas also included the highly contaminated fragments and particles and the highly contaminated objects buried in shallow pits. These areas were remediated by removal and burial at depth of contaminated surface soil and the exhumation and re-burial at depth of the contaminated objects.</w:t>
      </w:r>
    </w:p>
    <w:p w14:paraId="111A8207" w14:textId="162C445E" w:rsidR="00257990" w:rsidRDefault="00257990" w:rsidP="00BA03BB">
      <w:pPr>
        <w:pStyle w:val="ICRPannexparagraph"/>
      </w:pPr>
      <w:r>
        <w:t xml:space="preserve">Some areas at the test sites at Maralinga were also contaminated with </w:t>
      </w:r>
      <w:r w:rsidR="001843F4">
        <w:t>b</w:t>
      </w:r>
      <w:r>
        <w:t>eryllium, which posed a non-radiological inhalation hazard. However, this contamination was confined to the same areas from which soil was removed. Therefore, this non-radiological contaminated was treated in the same process that treated the radiological contamination.</w:t>
      </w:r>
    </w:p>
    <w:p w14:paraId="40FAF287" w14:textId="65635FF9" w:rsidR="00257990" w:rsidRDefault="00257990" w:rsidP="00BA03BB">
      <w:pPr>
        <w:pStyle w:val="ICRPannexparagraph"/>
      </w:pPr>
      <w:r>
        <w:t>Following the remediation all areas at Maralinga have been shown by recent dose assessments (O’Brien et al</w:t>
      </w:r>
      <w:r w:rsidR="00950DDC">
        <w:t>.,</w:t>
      </w:r>
      <w:r>
        <w:t xml:space="preserve"> 2011) to be well within acceptable limits for all envisaged land uses. In fact, the remediation achieved considerably better dose outcomes than were originally planned.</w:t>
      </w:r>
    </w:p>
    <w:p w14:paraId="7636F06B" w14:textId="77777777" w:rsidR="00257990" w:rsidRDefault="00257990" w:rsidP="00BA03BB">
      <w:pPr>
        <w:pStyle w:val="ICRPannexparagraph"/>
      </w:pPr>
      <w:r>
        <w:t xml:space="preserve">This meant the restriction on permanent occupancy within the ‘restricted land-use’ (non-residential) boundary could be seen as a purely precautionary measure. This is because doses due to inhalation for permanent occupancy of </w:t>
      </w:r>
      <w:proofErr w:type="gramStart"/>
      <w:r>
        <w:t>all</w:t>
      </w:r>
      <w:proofErr w:type="gramEnd"/>
      <w:r>
        <w:t xml:space="preserve"> but a few small areas are well below the annual 1 mSv limit for members of the public.</w:t>
      </w:r>
    </w:p>
    <w:p w14:paraId="34B22EBC" w14:textId="77777777" w:rsidR="00257990" w:rsidRPr="007D1BA7" w:rsidRDefault="00257990" w:rsidP="00BA03BB">
      <w:pPr>
        <w:pStyle w:val="ICRPannexparagraph"/>
        <w:rPr>
          <w:lang w:val="en-AU"/>
        </w:rPr>
      </w:pPr>
      <w:r>
        <w:t>The argument for maintaining restrictions on land use at Maralinga should perhaps be seen as restricting access to the sites of the burial trenches, and thus discouraging intrusion. The restricted access also reduces the highly unpredictable (stochastic) and essentially non-assessable hazard from possible contact with any undiscovered active particles remaining in the plumes adjacent to the soil-removal areas. Accepting that land use restrictions will have to be retained essentially forever, a clear record of the history and status of the site must be preserved in libraries, archives, land titles and similar repositories. The permanent marking of burial trenches is important, together with the establishing of an open-ended periodic inspection and maintenance program for the restricted area.</w:t>
      </w:r>
    </w:p>
    <w:p w14:paraId="4C212EC0" w14:textId="2610C033" w:rsidR="00257990" w:rsidRPr="0070530F" w:rsidRDefault="00257990" w:rsidP="00257990">
      <w:pPr>
        <w:pStyle w:val="ICRPannexparagraph"/>
        <w:rPr>
          <w:lang w:val="en-AU"/>
        </w:rPr>
      </w:pPr>
      <w:r w:rsidRPr="007D1BA7">
        <w:rPr>
          <w:lang w:val="en-AU"/>
        </w:rPr>
        <w:t>The traditional owners have now returned to the site and play a stewardship role. There has been a need for their culture to adapt to and include a continuing awareness</w:t>
      </w:r>
      <w:r w:rsidRPr="007D1BA7">
        <w:t xml:space="preserve"> </w:t>
      </w:r>
      <w:r w:rsidRPr="007D1BA7">
        <w:rPr>
          <w:lang w:val="en-AU"/>
        </w:rPr>
        <w:t>of the land use restrictions and the reasons for maintaining those restrictions.</w:t>
      </w:r>
    </w:p>
    <w:p w14:paraId="3F43C37E" w14:textId="74664C57" w:rsidR="00257990" w:rsidRPr="0070530F" w:rsidRDefault="0070530F" w:rsidP="0070530F">
      <w:pPr>
        <w:pStyle w:val="ICRPannexheading3"/>
        <w:spacing w:before="240" w:after="240"/>
        <w:rPr>
          <w:b/>
          <w:bCs/>
          <w:lang w:val="en-AU"/>
        </w:rPr>
      </w:pPr>
      <w:r w:rsidRPr="0070530F">
        <w:rPr>
          <w:rFonts w:eastAsiaTheme="minorEastAsia"/>
          <w:b/>
          <w:bCs/>
          <w:lang w:val="en-AU" w:eastAsia="ja-JP"/>
        </w:rPr>
        <w:t>Summary</w:t>
      </w:r>
    </w:p>
    <w:p w14:paraId="25AF85E0" w14:textId="11321454" w:rsidR="00257990" w:rsidRDefault="00257990" w:rsidP="00BA03BB">
      <w:pPr>
        <w:pStyle w:val="ICRPannexparagraph"/>
      </w:pPr>
      <w:r>
        <w:t>Large areas of the Australian outback were contaminated due to the explosive dispersion of plutonium in experiments carried out in conjunction with nuclear testing at Maralinga (Symonds</w:t>
      </w:r>
      <w:r w:rsidR="001843F4">
        <w:t>,</w:t>
      </w:r>
      <w:r>
        <w:t xml:space="preserve"> 1985). This contamination presented a significant inhalation risk to potential occupants.</w:t>
      </w:r>
    </w:p>
    <w:p w14:paraId="59AFB8B1" w14:textId="529EB6A9" w:rsidR="00257990" w:rsidRDefault="00257990" w:rsidP="00BA03BB">
      <w:pPr>
        <w:pStyle w:val="ICRPannexparagraph"/>
        <w:rPr>
          <w:lang w:val="en-AU"/>
        </w:rPr>
      </w:pPr>
      <w:r>
        <w:rPr>
          <w:lang w:val="en-AU"/>
        </w:rPr>
        <w:t>The Australian government</w:t>
      </w:r>
      <w:r w:rsidRPr="007E7A7A">
        <w:rPr>
          <w:lang w:val="en-AU"/>
        </w:rPr>
        <w:t xml:space="preserve"> committ</w:t>
      </w:r>
      <w:r>
        <w:rPr>
          <w:lang w:val="en-AU"/>
        </w:rPr>
        <w:t>ed</w:t>
      </w:r>
      <w:r w:rsidRPr="007E7A7A">
        <w:rPr>
          <w:lang w:val="en-AU"/>
        </w:rPr>
        <w:t xml:space="preserve"> to reduce the radiological hazard to enable Aboriginal traditional land use and transit of the test site area, reduce and possibly eliminate the need for control and surveillance of the sites and remove potential liabilities arising from contamination</w:t>
      </w:r>
      <w:r>
        <w:rPr>
          <w:lang w:val="en-AU"/>
        </w:rPr>
        <w:t xml:space="preserve"> (</w:t>
      </w:r>
      <w:r w:rsidRPr="00D65A32">
        <w:rPr>
          <w:iCs/>
          <w:color w:val="000000" w:themeColor="text1"/>
          <w:lang w:val="en-US"/>
        </w:rPr>
        <w:t>McClelland</w:t>
      </w:r>
      <w:r w:rsidR="001843F4">
        <w:rPr>
          <w:iCs/>
          <w:color w:val="000000" w:themeColor="text1"/>
          <w:lang w:val="en-US"/>
        </w:rPr>
        <w:t>,</w:t>
      </w:r>
      <w:r>
        <w:rPr>
          <w:iCs/>
          <w:color w:val="000000" w:themeColor="text1"/>
          <w:lang w:val="en-US"/>
        </w:rPr>
        <w:t xml:space="preserve"> </w:t>
      </w:r>
      <w:r w:rsidRPr="001C7EBD">
        <w:rPr>
          <w:iCs/>
          <w:color w:val="000000" w:themeColor="text1"/>
          <w:lang w:val="en-US"/>
        </w:rPr>
        <w:t>1985</w:t>
      </w:r>
      <w:r>
        <w:rPr>
          <w:iCs/>
          <w:color w:val="000000" w:themeColor="text1"/>
          <w:lang w:val="en-US"/>
        </w:rPr>
        <w:t>)</w:t>
      </w:r>
      <w:r w:rsidRPr="007E7A7A">
        <w:rPr>
          <w:lang w:val="en-AU"/>
        </w:rPr>
        <w:t>.</w:t>
      </w:r>
    </w:p>
    <w:p w14:paraId="454D41BB" w14:textId="55BEE740" w:rsidR="00257990" w:rsidRPr="00941525" w:rsidRDefault="00257990" w:rsidP="00BA03BB">
      <w:pPr>
        <w:pStyle w:val="ICRPannexparagraph"/>
        <w:rPr>
          <w:lang w:val="en-AU"/>
        </w:rPr>
      </w:pPr>
      <w:r>
        <w:t xml:space="preserve">A consultative group was formed, made up of representatives of the Commonwealth, SA, WA and UK Governments and members of the Maralinga </w:t>
      </w:r>
      <w:proofErr w:type="spellStart"/>
      <w:r>
        <w:t>Tjarutja</w:t>
      </w:r>
      <w:proofErr w:type="spellEnd"/>
      <w:r>
        <w:t>, traditional owners of land, and their legal representatives to serve as a forum to discuss all matters concerning test site rehabilitation (MARTAC</w:t>
      </w:r>
      <w:r w:rsidR="001843F4">
        <w:t>,</w:t>
      </w:r>
      <w:r>
        <w:t xml:space="preserve"> 2002). The Maralinga </w:t>
      </w:r>
      <w:proofErr w:type="spellStart"/>
      <w:r>
        <w:t>Tjarutja</w:t>
      </w:r>
      <w:proofErr w:type="spellEnd"/>
      <w:r>
        <w:t xml:space="preserve"> people also had a close </w:t>
      </w:r>
      <w:r>
        <w:lastRenderedPageBreak/>
        <w:t>involvement with the scientists from the TAG (TAG</w:t>
      </w:r>
      <w:r w:rsidR="001843F4">
        <w:t>,</w:t>
      </w:r>
      <w:r>
        <w:t xml:space="preserve"> 1990), especially through the anthropological and inhalation studies, which required their close cooperation.</w:t>
      </w:r>
    </w:p>
    <w:p w14:paraId="3FDF7E32" w14:textId="515EA0FE" w:rsidR="00257990" w:rsidRPr="00941525" w:rsidRDefault="00257990" w:rsidP="00BA03BB">
      <w:pPr>
        <w:pStyle w:val="ICRPannexparagraph"/>
        <w:rPr>
          <w:lang w:val="en-AU"/>
        </w:rPr>
      </w:pPr>
      <w:r>
        <w:t>Of particular concern to the consultative group was striking a balance between restrictions on land use and soil removal, which could have a significant devastating environmental and cultural impact. The solution arrived at through this consultation minimised the soil stripping required for contamination removal and restricting occupancy on a section of the site. This translated to a reference level of 5 mSv per year from birth (corresponding to the risk of fatal cancer from a uniform chronic exposure not exceeding 1 in 10,000 by the fiftieth year) (MARTAC</w:t>
      </w:r>
      <w:r w:rsidR="001843F4">
        <w:t>,</w:t>
      </w:r>
      <w:r>
        <w:t xml:space="preserve"> 2002). </w:t>
      </w:r>
    </w:p>
    <w:p w14:paraId="7BF92724" w14:textId="3B478B1D" w:rsidR="00257990" w:rsidRPr="008458C4" w:rsidRDefault="00257990" w:rsidP="00BA03BB">
      <w:pPr>
        <w:pStyle w:val="ICRPannexparagraph"/>
        <w:rPr>
          <w:lang w:val="en-AU"/>
        </w:rPr>
      </w:pPr>
      <w:r>
        <w:rPr>
          <w:lang w:val="en-AU"/>
        </w:rPr>
        <w:t xml:space="preserve">The remediation project </w:t>
      </w:r>
      <w:r>
        <w:t xml:space="preserve">– principally through the removal and burial at depth of heavily contaminated soil and objects – began detailed planning in 1994, cost approximately </w:t>
      </w:r>
      <w:r w:rsidRPr="009D308F">
        <w:t>100</w:t>
      </w:r>
      <w:r>
        <w:t xml:space="preserve"> million </w:t>
      </w:r>
      <w:r w:rsidR="009D308F">
        <w:t xml:space="preserve">AUD </w:t>
      </w:r>
      <w:r>
        <w:t>and was completed in 2000 (MARTAC</w:t>
      </w:r>
      <w:r w:rsidR="001843F4">
        <w:t>,</w:t>
      </w:r>
      <w:r>
        <w:t xml:space="preserve"> 2002). </w:t>
      </w:r>
    </w:p>
    <w:p w14:paraId="2076A561" w14:textId="2611E95B" w:rsidR="00257990" w:rsidRPr="00EE2D62" w:rsidRDefault="00257990" w:rsidP="00257990">
      <w:pPr>
        <w:pStyle w:val="ICRPannexparagraph"/>
        <w:rPr>
          <w:lang w:val="en-AU"/>
        </w:rPr>
      </w:pPr>
      <w:r>
        <w:t>A recent dose assessment (O’Brian</w:t>
      </w:r>
      <w:r w:rsidR="001843F4">
        <w:t>,</w:t>
      </w:r>
      <w:r>
        <w:t xml:space="preserve"> 2011) has shown the entire area to be well within acceptable limits for all envisaged land uses. In fact, the remediation achieved considerably better dose outcomes than were originally planned. </w:t>
      </w:r>
      <w:r w:rsidRPr="007D1BA7">
        <w:rPr>
          <w:lang w:val="en-AU"/>
        </w:rPr>
        <w:t>The traditional owners have now returned to the site and play a stewardship role.</w:t>
      </w:r>
    </w:p>
    <w:p w14:paraId="5BA0B1AC" w14:textId="0C97C3D2" w:rsidR="00685042" w:rsidRDefault="00685042" w:rsidP="0025350C">
      <w:pPr>
        <w:pStyle w:val="ICRPannexheading2"/>
        <w:ind w:left="576"/>
        <w:rPr>
          <w:lang w:val="en-US"/>
        </w:rPr>
      </w:pPr>
      <w:bookmarkStart w:id="117" w:name="_Toc166586823"/>
      <w:r w:rsidRPr="00AF2A12">
        <w:rPr>
          <w:lang w:val="en-US"/>
        </w:rPr>
        <w:t xml:space="preserve">Remediation of radium legacies from the Swiss </w:t>
      </w:r>
      <w:r w:rsidR="00064132">
        <w:rPr>
          <w:lang w:val="en-US"/>
        </w:rPr>
        <w:t>w</w:t>
      </w:r>
      <w:r w:rsidRPr="00AF2A12">
        <w:rPr>
          <w:lang w:val="en-US"/>
        </w:rPr>
        <w:t xml:space="preserve">atch </w:t>
      </w:r>
      <w:r w:rsidR="00064132">
        <w:rPr>
          <w:lang w:val="en-US"/>
        </w:rPr>
        <w:t>i</w:t>
      </w:r>
      <w:r w:rsidRPr="00AF2A12">
        <w:rPr>
          <w:lang w:val="en-US"/>
        </w:rPr>
        <w:t>ndustry</w:t>
      </w:r>
      <w:bookmarkEnd w:id="117"/>
    </w:p>
    <w:p w14:paraId="593A5DFC" w14:textId="1F96EAB6" w:rsidR="00B801BB" w:rsidRPr="0025350C" w:rsidRDefault="00B801BB" w:rsidP="0025350C">
      <w:pPr>
        <w:pStyle w:val="ICRPannexheading3"/>
        <w:spacing w:before="240" w:after="240"/>
        <w:rPr>
          <w:b/>
          <w:bCs/>
          <w:lang w:val="en-US"/>
        </w:rPr>
      </w:pPr>
      <w:r w:rsidRPr="0025350C">
        <w:rPr>
          <w:b/>
          <w:bCs/>
          <w:lang w:val="en-US"/>
        </w:rPr>
        <w:t>Background</w:t>
      </w:r>
    </w:p>
    <w:p w14:paraId="2F3467A9" w14:textId="29693256" w:rsidR="00685042" w:rsidRPr="00086378" w:rsidRDefault="00685042" w:rsidP="00A535F2">
      <w:pPr>
        <w:pStyle w:val="ICRPannexparagraph"/>
      </w:pPr>
      <w:r w:rsidRPr="00086378">
        <w:t>In June 2014, radium</w:t>
      </w:r>
      <w:r w:rsidR="00C96546">
        <w:t>-</w:t>
      </w:r>
      <w:r w:rsidRPr="00086378">
        <w:t>contaminated waste was discovered during work carr</w:t>
      </w:r>
      <w:r w:rsidR="00A13CC8">
        <w:t>ied</w:t>
      </w:r>
      <w:r w:rsidRPr="00086378">
        <w:t xml:space="preserve"> out at a former landfill site. </w:t>
      </w:r>
      <w:r w:rsidR="00672D30" w:rsidRPr="00086378">
        <w:t>Follow</w:t>
      </w:r>
      <w:r w:rsidR="00672D30">
        <w:t>i</w:t>
      </w:r>
      <w:r w:rsidR="00672D30" w:rsidRPr="00086378">
        <w:t>ng</w:t>
      </w:r>
      <w:r w:rsidRPr="00086378">
        <w:t xml:space="preserve"> this discovery, it was reported that nearly 90 buildings</w:t>
      </w:r>
      <w:r w:rsidR="00EA0A28">
        <w:t>,</w:t>
      </w:r>
      <w:r w:rsidRPr="00086378">
        <w:t xml:space="preserve"> mostly localised in the Jura region of Switzerland</w:t>
      </w:r>
      <w:r w:rsidR="00EA0A28">
        <w:t>,</w:t>
      </w:r>
      <w:r w:rsidRPr="00086378">
        <w:t xml:space="preserve"> had been potentially contaminated with radium</w:t>
      </w:r>
      <w:r w:rsidR="00A6188B">
        <w:rPr>
          <w:rFonts w:hint="eastAsia"/>
        </w:rPr>
        <w:t xml:space="preserve"> </w:t>
      </w:r>
      <w:r w:rsidR="00A6188B">
        <w:t>(</w:t>
      </w:r>
      <w:proofErr w:type="spellStart"/>
      <w:r w:rsidR="00A6188B">
        <w:t>Murith</w:t>
      </w:r>
      <w:proofErr w:type="spellEnd"/>
      <w:r w:rsidR="00A6188B">
        <w:t xml:space="preserve"> et al, 2016)</w:t>
      </w:r>
      <w:r w:rsidR="00A6188B" w:rsidRPr="00086378">
        <w:t>.</w:t>
      </w:r>
      <w:r w:rsidRPr="00086378">
        <w:t xml:space="preserve"> </w:t>
      </w:r>
      <w:r w:rsidR="003828A1">
        <w:t>R</w:t>
      </w:r>
      <w:r w:rsidRPr="00086378">
        <w:t>adium was originally used in the watchmaking industry during the 1920</w:t>
      </w:r>
      <w:r w:rsidR="0079599A">
        <w:t>–</w:t>
      </w:r>
      <w:r w:rsidRPr="00086378">
        <w:t>1960 period for its luminescent properties before its use was abandoned for other materials. At that time, employees were working in workshops or at home</w:t>
      </w:r>
      <w:r w:rsidR="00AE28E4">
        <w:t>,</w:t>
      </w:r>
      <w:r w:rsidRPr="00086378">
        <w:t xml:space="preserve"> and </w:t>
      </w:r>
      <w:proofErr w:type="gramStart"/>
      <w:r w:rsidRPr="00086378">
        <w:t>a number of</w:t>
      </w:r>
      <w:proofErr w:type="gramEnd"/>
      <w:r w:rsidRPr="00086378">
        <w:t xml:space="preserve"> places were contaminated.</w:t>
      </w:r>
    </w:p>
    <w:p w14:paraId="08799371" w14:textId="2973CD4A" w:rsidR="00685042" w:rsidRPr="00086378" w:rsidRDefault="00685042" w:rsidP="00667C97">
      <w:pPr>
        <w:pStyle w:val="ICRPannexparagraph"/>
        <w:spacing w:after="240"/>
      </w:pPr>
      <w:r w:rsidRPr="00086378">
        <w:t xml:space="preserve">The Federal Office of Public Health (FOPH), which is the radiological protection competent authority in Switzerland, proposed a plan for the management of the radium legacy </w:t>
      </w:r>
      <w:proofErr w:type="gramStart"/>
      <w:r w:rsidRPr="00086378">
        <w:t>in order to</w:t>
      </w:r>
      <w:proofErr w:type="gramEnd"/>
      <w:r w:rsidRPr="00086378">
        <w:t xml:space="preserve"> address the growing concerns of the population, which was approved by the Swiss government. The main objective of the plan is to ensure that no individual receive</w:t>
      </w:r>
      <w:r w:rsidR="00B75F67">
        <w:t>s</w:t>
      </w:r>
      <w:r w:rsidRPr="00086378">
        <w:t xml:space="preserve"> an effective dose higher than 1 mSv</w:t>
      </w:r>
      <w:r w:rsidR="0079599A">
        <w:t xml:space="preserve"> </w:t>
      </w:r>
      <w:r w:rsidRPr="00086378">
        <w:t>y</w:t>
      </w:r>
      <w:r w:rsidR="0079599A">
        <w:t>ear</w:t>
      </w:r>
      <w:r w:rsidR="0079599A" w:rsidRPr="00667C97">
        <w:rPr>
          <w:vertAlign w:val="superscript"/>
        </w:rPr>
        <w:t>−</w:t>
      </w:r>
      <w:r w:rsidRPr="00667C97">
        <w:rPr>
          <w:vertAlign w:val="superscript"/>
        </w:rPr>
        <w:t>1</w:t>
      </w:r>
      <w:r w:rsidRPr="00086378">
        <w:t xml:space="preserve"> because of residual radium. The plan also considered </w:t>
      </w:r>
      <w:r w:rsidR="00283293">
        <w:t xml:space="preserve">the </w:t>
      </w:r>
      <w:r w:rsidRPr="00086378">
        <w:t xml:space="preserve">protection of the environment </w:t>
      </w:r>
      <w:r w:rsidR="006F1E9F">
        <w:t>and</w:t>
      </w:r>
      <w:r w:rsidRPr="00086378">
        <w:t xml:space="preserve"> the remediation workers. It consists </w:t>
      </w:r>
      <w:r w:rsidR="006F1E9F">
        <w:t>of</w:t>
      </w:r>
      <w:r w:rsidRPr="00086378">
        <w:t xml:space="preserve"> 4 axes:</w:t>
      </w:r>
    </w:p>
    <w:p w14:paraId="3B1A0FBF" w14:textId="5A9768D2" w:rsidR="00685042" w:rsidRPr="00AF2A12" w:rsidRDefault="008F56E0" w:rsidP="00667C97">
      <w:pPr>
        <w:pStyle w:val="Annalstext"/>
        <w:numPr>
          <w:ilvl w:val="0"/>
          <w:numId w:val="66"/>
        </w:numPr>
        <w:ind w:left="360"/>
        <w:rPr>
          <w:color w:val="000000" w:themeColor="text1"/>
        </w:rPr>
      </w:pPr>
      <w:r>
        <w:rPr>
          <w:color w:val="000000" w:themeColor="text1"/>
        </w:rPr>
        <w:t>i</w:t>
      </w:r>
      <w:r w:rsidR="00685042" w:rsidRPr="00AF2A12">
        <w:rPr>
          <w:color w:val="000000" w:themeColor="text1"/>
        </w:rPr>
        <w:t xml:space="preserve">dentification of sites where radium was </w:t>
      </w:r>
      <w:proofErr w:type="gramStart"/>
      <w:r w:rsidR="00685042" w:rsidRPr="00AF2A12">
        <w:rPr>
          <w:color w:val="000000" w:themeColor="text1"/>
        </w:rPr>
        <w:t>used</w:t>
      </w:r>
      <w:proofErr w:type="gramEnd"/>
      <w:r w:rsidR="00685042" w:rsidRPr="00AF2A12">
        <w:rPr>
          <w:color w:val="000000" w:themeColor="text1"/>
        </w:rPr>
        <w:t xml:space="preserve"> and which are therefore potentially contaminated (historical research);</w:t>
      </w:r>
    </w:p>
    <w:p w14:paraId="71DAE6FA" w14:textId="7D9D316D" w:rsidR="00685042" w:rsidRPr="00AF2A12" w:rsidRDefault="008F56E0" w:rsidP="00667C97">
      <w:pPr>
        <w:pStyle w:val="Annalstext"/>
        <w:numPr>
          <w:ilvl w:val="0"/>
          <w:numId w:val="66"/>
        </w:numPr>
        <w:ind w:left="360"/>
        <w:rPr>
          <w:color w:val="000000" w:themeColor="text1"/>
        </w:rPr>
      </w:pPr>
      <w:r>
        <w:rPr>
          <w:color w:val="000000" w:themeColor="text1"/>
        </w:rPr>
        <w:t>m</w:t>
      </w:r>
      <w:r w:rsidR="00685042" w:rsidRPr="00AF2A12">
        <w:rPr>
          <w:color w:val="000000" w:themeColor="text1"/>
        </w:rPr>
        <w:t>onitoring/survey of radium at the identified sites (building, surrounding garden</w:t>
      </w:r>
      <w:r w:rsidR="006F1E9F">
        <w:rPr>
          <w:color w:val="000000" w:themeColor="text1"/>
        </w:rPr>
        <w:t>,</w:t>
      </w:r>
      <w:r w:rsidR="00685042" w:rsidRPr="00AF2A12">
        <w:rPr>
          <w:color w:val="000000" w:themeColor="text1"/>
        </w:rPr>
        <w:t xml:space="preserve"> etc.) and</w:t>
      </w:r>
      <w:r w:rsidR="006F1E9F">
        <w:rPr>
          <w:color w:val="000000" w:themeColor="text1"/>
        </w:rPr>
        <w:t>,</w:t>
      </w:r>
      <w:r w:rsidR="00685042" w:rsidRPr="00AF2A12">
        <w:rPr>
          <w:color w:val="000000" w:themeColor="text1"/>
        </w:rPr>
        <w:t xml:space="preserve"> if required</w:t>
      </w:r>
      <w:r w:rsidR="006F1E9F">
        <w:rPr>
          <w:color w:val="000000" w:themeColor="text1"/>
        </w:rPr>
        <w:t>,</w:t>
      </w:r>
      <w:r w:rsidR="00685042" w:rsidRPr="00AF2A12">
        <w:rPr>
          <w:color w:val="000000" w:themeColor="text1"/>
        </w:rPr>
        <w:t xml:space="preserve"> dose </w:t>
      </w:r>
      <w:proofErr w:type="gramStart"/>
      <w:r w:rsidR="00685042" w:rsidRPr="00AF2A12">
        <w:rPr>
          <w:color w:val="000000" w:themeColor="text1"/>
        </w:rPr>
        <w:t>calculation;</w:t>
      </w:r>
      <w:proofErr w:type="gramEnd"/>
    </w:p>
    <w:p w14:paraId="75DC07CB" w14:textId="127E2D71" w:rsidR="00685042" w:rsidRPr="00AF2A12" w:rsidRDefault="008F56E0" w:rsidP="00667C97">
      <w:pPr>
        <w:pStyle w:val="Annalstext"/>
        <w:numPr>
          <w:ilvl w:val="0"/>
          <w:numId w:val="66"/>
        </w:numPr>
        <w:ind w:left="360"/>
        <w:rPr>
          <w:color w:val="000000" w:themeColor="text1"/>
        </w:rPr>
      </w:pPr>
      <w:r>
        <w:rPr>
          <w:color w:val="000000" w:themeColor="text1"/>
        </w:rPr>
        <w:t>i</w:t>
      </w:r>
      <w:r w:rsidR="00685042" w:rsidRPr="00AF2A12">
        <w:rPr>
          <w:color w:val="000000" w:themeColor="text1"/>
        </w:rPr>
        <w:t>mplementation of a remediation plan if this is justified;</w:t>
      </w:r>
      <w:r>
        <w:rPr>
          <w:color w:val="000000" w:themeColor="text1"/>
        </w:rPr>
        <w:t xml:space="preserve"> and </w:t>
      </w:r>
    </w:p>
    <w:p w14:paraId="1CF13A9E" w14:textId="0DA211DC" w:rsidR="00B801BB" w:rsidRPr="0025350C" w:rsidRDefault="008F56E0" w:rsidP="00667C97">
      <w:pPr>
        <w:pStyle w:val="Annalstext"/>
        <w:numPr>
          <w:ilvl w:val="0"/>
          <w:numId w:val="66"/>
        </w:numPr>
        <w:ind w:left="360"/>
        <w:rPr>
          <w:color w:val="000000" w:themeColor="text1"/>
        </w:rPr>
      </w:pPr>
      <w:r>
        <w:rPr>
          <w:color w:val="000000" w:themeColor="text1"/>
        </w:rPr>
        <w:t>m</w:t>
      </w:r>
      <w:r w:rsidR="00685042" w:rsidRPr="00AF2A12">
        <w:rPr>
          <w:color w:val="000000" w:themeColor="text1"/>
        </w:rPr>
        <w:t xml:space="preserve">onitoring of former landfills </w:t>
      </w:r>
      <w:r w:rsidR="0082557B">
        <w:rPr>
          <w:color w:val="000000" w:themeColor="text1"/>
        </w:rPr>
        <w:t>that</w:t>
      </w:r>
      <w:r w:rsidR="00685042" w:rsidRPr="00AF2A12">
        <w:rPr>
          <w:color w:val="000000" w:themeColor="text1"/>
        </w:rPr>
        <w:t xml:space="preserve"> are potentially contaminated with radium</w:t>
      </w:r>
      <w:r w:rsidR="0079599A">
        <w:rPr>
          <w:color w:val="000000" w:themeColor="text1"/>
        </w:rPr>
        <w:t xml:space="preserve"> </w:t>
      </w:r>
      <w:r w:rsidR="00685042" w:rsidRPr="00AF2A12">
        <w:rPr>
          <w:color w:val="000000" w:themeColor="text1"/>
        </w:rPr>
        <w:t>waste.</w:t>
      </w:r>
    </w:p>
    <w:p w14:paraId="763F5D23" w14:textId="11D3DBDB" w:rsidR="00B801BB" w:rsidRPr="0025350C" w:rsidRDefault="00B801BB" w:rsidP="0025350C">
      <w:pPr>
        <w:pStyle w:val="ICRPannexheading3"/>
        <w:spacing w:before="240" w:after="240"/>
        <w:rPr>
          <w:b/>
          <w:bCs/>
        </w:rPr>
      </w:pPr>
      <w:r w:rsidRPr="0025350C">
        <w:rPr>
          <w:b/>
          <w:bCs/>
        </w:rPr>
        <w:t>Selected remedy</w:t>
      </w:r>
    </w:p>
    <w:p w14:paraId="77E4FF5F" w14:textId="4F52D3D6" w:rsidR="00685042" w:rsidRPr="00086378" w:rsidRDefault="00685042" w:rsidP="00A535F2">
      <w:pPr>
        <w:pStyle w:val="ICRPannexparagraph"/>
      </w:pPr>
      <w:r w:rsidRPr="00086378">
        <w:t>All along the plan, stakeholder</w:t>
      </w:r>
      <w:r w:rsidR="00990901">
        <w:t xml:space="preserve"> involvement</w:t>
      </w:r>
      <w:r w:rsidRPr="00086378">
        <w:t xml:space="preserve"> is considered an important aspect of the process. Engagement and collaboration with residents (owners or renters) </w:t>
      </w:r>
      <w:proofErr w:type="gramStart"/>
      <w:r w:rsidRPr="00086378">
        <w:t>is</w:t>
      </w:r>
      <w:proofErr w:type="gramEnd"/>
      <w:r w:rsidRPr="00086378">
        <w:t xml:space="preserve"> required to achieve a successful remediation.</w:t>
      </w:r>
    </w:p>
    <w:p w14:paraId="2725E2DD" w14:textId="1D93D52E" w:rsidR="00685042" w:rsidRPr="00086378" w:rsidRDefault="00685042" w:rsidP="00A535F2">
      <w:pPr>
        <w:pStyle w:val="ICRPannexparagraph"/>
      </w:pPr>
      <w:r w:rsidRPr="00086378">
        <w:lastRenderedPageBreak/>
        <w:t>The search for radium</w:t>
      </w:r>
      <w:r w:rsidR="00A80181">
        <w:t>-</w:t>
      </w:r>
      <w:r w:rsidRPr="00086378">
        <w:t xml:space="preserve">contaminated sites involves the use of various sources of information such as archives, contacts with </w:t>
      </w:r>
      <w:r w:rsidR="00D13F08">
        <w:t xml:space="preserve">the </w:t>
      </w:r>
      <w:r w:rsidRPr="00086378">
        <w:t>watch industry and radium suppliers or other individuals. Historical research indicates that approximately 1000 sites are of concern. A dedicated databank was developed by the FOPH to record all relevant data.</w:t>
      </w:r>
    </w:p>
    <w:p w14:paraId="737CFBCB" w14:textId="4B65F84A" w:rsidR="00685042" w:rsidRPr="00086378" w:rsidRDefault="00685042" w:rsidP="00667C97">
      <w:pPr>
        <w:pStyle w:val="ICRPannexparagraph"/>
        <w:spacing w:after="240"/>
      </w:pPr>
      <w:r w:rsidRPr="00086378">
        <w:t>The screening first addressed sites that were identified by the press or reported by residents and then progressively sites identified within the historical research. The following scheme was developed to address this phase</w:t>
      </w:r>
      <w:r w:rsidR="003755F9">
        <w:t>.</w:t>
      </w:r>
    </w:p>
    <w:p w14:paraId="1CD48DD7" w14:textId="5EBD4DF3" w:rsidR="00685042" w:rsidRPr="008B25CD" w:rsidRDefault="00685042" w:rsidP="00667C97">
      <w:pPr>
        <w:pStyle w:val="ICRPannexparagraph"/>
        <w:numPr>
          <w:ilvl w:val="0"/>
          <w:numId w:val="67"/>
        </w:numPr>
        <w:ind w:left="360"/>
      </w:pPr>
      <w:r w:rsidRPr="008B25CD">
        <w:t>Contact with the residents of the site (tenants and owners) to define the conditions for the screening (when, how long and consequences for the resident)</w:t>
      </w:r>
      <w:r w:rsidR="003755F9">
        <w:t>.</w:t>
      </w:r>
    </w:p>
    <w:p w14:paraId="21522495" w14:textId="1449AED5" w:rsidR="00685042" w:rsidRPr="008B25CD" w:rsidRDefault="00685042" w:rsidP="00667C97">
      <w:pPr>
        <w:pStyle w:val="ICRPannexparagraph"/>
        <w:numPr>
          <w:ilvl w:val="0"/>
          <w:numId w:val="67"/>
        </w:numPr>
        <w:ind w:left="360"/>
      </w:pPr>
      <w:r w:rsidRPr="008B25CD">
        <w:t>Screening according to the FOPH procedure</w:t>
      </w:r>
      <w:r w:rsidR="003755F9">
        <w:t>.</w:t>
      </w:r>
    </w:p>
    <w:p w14:paraId="675239CC" w14:textId="21F2F9AA" w:rsidR="00685042" w:rsidRPr="008B25CD" w:rsidRDefault="00685042" w:rsidP="00667C97">
      <w:pPr>
        <w:pStyle w:val="ICRPannexparagraph"/>
        <w:numPr>
          <w:ilvl w:val="0"/>
          <w:numId w:val="67"/>
        </w:numPr>
        <w:ind w:left="360"/>
      </w:pPr>
      <w:r w:rsidRPr="008B25CD">
        <w:t>Information on the results to the resident and proposal of immediate arrangements in case of significant contamination</w:t>
      </w:r>
      <w:r w:rsidR="003755F9">
        <w:t>.</w:t>
      </w:r>
    </w:p>
    <w:p w14:paraId="588046DC" w14:textId="0160ACE1" w:rsidR="00685042" w:rsidRPr="008B25CD" w:rsidRDefault="00685042" w:rsidP="00667C97">
      <w:pPr>
        <w:pStyle w:val="ICRPannexparagraph"/>
        <w:numPr>
          <w:ilvl w:val="0"/>
          <w:numId w:val="67"/>
        </w:numPr>
        <w:ind w:left="360"/>
      </w:pPr>
      <w:r w:rsidRPr="008B25CD">
        <w:t>If the screening value is exceeded</w:t>
      </w:r>
      <w:r w:rsidR="00EF7D6E">
        <w:t>,</w:t>
      </w:r>
      <w:r w:rsidRPr="008B25CD">
        <w:t xml:space="preserve"> then additional measurements may be achieved</w:t>
      </w:r>
      <w:r w:rsidR="003755F9">
        <w:t>.</w:t>
      </w:r>
    </w:p>
    <w:p w14:paraId="4C2B5A83" w14:textId="77777777" w:rsidR="00685042" w:rsidRPr="008B25CD" w:rsidRDefault="00685042" w:rsidP="00667C97">
      <w:pPr>
        <w:pStyle w:val="ICRPannexparagraph"/>
        <w:numPr>
          <w:ilvl w:val="0"/>
          <w:numId w:val="67"/>
        </w:numPr>
        <w:spacing w:after="240"/>
        <w:ind w:left="360"/>
      </w:pPr>
      <w:r w:rsidRPr="008B25CD">
        <w:t>FOPH officially inform the concerned individuals and local authorities.</w:t>
      </w:r>
    </w:p>
    <w:p w14:paraId="363C1F58" w14:textId="25B0EF6C" w:rsidR="00685042" w:rsidRPr="00086378" w:rsidRDefault="00685042" w:rsidP="00A535F2">
      <w:pPr>
        <w:pStyle w:val="ICRPannexparagraph"/>
      </w:pPr>
      <w:r w:rsidRPr="00086378">
        <w:t xml:space="preserve">According to ICRP </w:t>
      </w:r>
      <w:r w:rsidRPr="00667C97">
        <w:rPr>
          <w:i/>
          <w:iCs/>
        </w:rPr>
        <w:t>Publication 103</w:t>
      </w:r>
      <w:r w:rsidRPr="00086378">
        <w:t>, FOPH needed to justify its protection strategy and to optimise radiological protection, which required defin</w:t>
      </w:r>
      <w:r w:rsidR="003E271A">
        <w:t>ing</w:t>
      </w:r>
      <w:r w:rsidRPr="00086378">
        <w:t xml:space="preserve"> a reference level in the 1</w:t>
      </w:r>
      <w:r w:rsidR="00D61A86">
        <w:t>–</w:t>
      </w:r>
      <w:r w:rsidRPr="00086378">
        <w:t>20 mSv</w:t>
      </w:r>
      <w:r w:rsidR="00D61A86">
        <w:t xml:space="preserve"> </w:t>
      </w:r>
      <w:r w:rsidRPr="00086378">
        <w:t>y</w:t>
      </w:r>
      <w:r w:rsidR="00D61A86">
        <w:t>ear</w:t>
      </w:r>
      <w:r w:rsidR="00D61A86" w:rsidRPr="00667C97">
        <w:rPr>
          <w:vertAlign w:val="superscript"/>
        </w:rPr>
        <w:t>−</w:t>
      </w:r>
      <w:r w:rsidRPr="00667C97">
        <w:rPr>
          <w:vertAlign w:val="superscript"/>
        </w:rPr>
        <w:t>1</w:t>
      </w:r>
      <w:r w:rsidRPr="00086378">
        <w:t xml:space="preserve"> dose band. When considering this choice, the Radiation Protection Ordinance (RPO) was under the revision procedure </w:t>
      </w:r>
      <w:proofErr w:type="gramStart"/>
      <w:r w:rsidRPr="00086378">
        <w:t>in order to</w:t>
      </w:r>
      <w:proofErr w:type="gramEnd"/>
      <w:r w:rsidRPr="00086378">
        <w:t xml:space="preserve"> transpose into the national regulation the new </w:t>
      </w:r>
      <w:r w:rsidR="00841FE8">
        <w:t xml:space="preserve">recommendations and </w:t>
      </w:r>
      <w:r w:rsidRPr="00086378">
        <w:t xml:space="preserve">international standards, namely the ICRP </w:t>
      </w:r>
      <w:r w:rsidR="00D61A86">
        <w:t>2007</w:t>
      </w:r>
      <w:r w:rsidRPr="00086378">
        <w:t xml:space="preserve"> </w:t>
      </w:r>
      <w:r w:rsidR="00D61A86">
        <w:t>R</w:t>
      </w:r>
      <w:r w:rsidRPr="00086378">
        <w:t xml:space="preserve">ecommendation </w:t>
      </w:r>
      <w:r w:rsidR="00CF540B">
        <w:t xml:space="preserve">(ICRP, 2007) </w:t>
      </w:r>
      <w:r w:rsidRPr="00086378">
        <w:t>as well as the IAEA and Euratom basic safety standards. At that time, the only regulatory value for public protection was the annual dose limit of 1 mSv</w:t>
      </w:r>
      <w:r w:rsidR="00C30BF8">
        <w:t xml:space="preserve"> </w:t>
      </w:r>
      <w:r w:rsidRPr="00086378">
        <w:t>y</w:t>
      </w:r>
      <w:r w:rsidR="00C30BF8">
        <w:t>ear</w:t>
      </w:r>
      <w:r w:rsidR="00C30BF8" w:rsidRPr="00667C97">
        <w:rPr>
          <w:vertAlign w:val="superscript"/>
        </w:rPr>
        <w:t>−</w:t>
      </w:r>
      <w:r w:rsidRPr="00667C97">
        <w:rPr>
          <w:vertAlign w:val="superscript"/>
        </w:rPr>
        <w:t>1</w:t>
      </w:r>
      <w:r w:rsidRPr="00086378">
        <w:t xml:space="preserve"> for practices, as existing exposure situations were not considered in the regulations. FOPH thus decided to choose 1 mSv</w:t>
      </w:r>
      <w:r w:rsidR="00C30BF8">
        <w:t xml:space="preserve"> </w:t>
      </w:r>
      <w:r w:rsidRPr="00086378">
        <w:t>y</w:t>
      </w:r>
      <w:r w:rsidR="00C30BF8">
        <w:t>ear</w:t>
      </w:r>
      <w:r w:rsidR="00C30BF8" w:rsidRPr="00667C97">
        <w:rPr>
          <w:vertAlign w:val="superscript"/>
        </w:rPr>
        <w:t>−</w:t>
      </w:r>
      <w:r w:rsidRPr="00667C97">
        <w:rPr>
          <w:vertAlign w:val="superscript"/>
        </w:rPr>
        <w:t>1</w:t>
      </w:r>
      <w:r w:rsidRPr="00086378">
        <w:t xml:space="preserve"> as a reference level for the management of radium legacies.</w:t>
      </w:r>
    </w:p>
    <w:p w14:paraId="3B8B3EF2" w14:textId="7FF7C1E3" w:rsidR="00685042" w:rsidRPr="00086378" w:rsidRDefault="00685042" w:rsidP="00A535F2">
      <w:pPr>
        <w:pStyle w:val="ICRPannexparagraph"/>
      </w:pPr>
      <w:r w:rsidRPr="00086378">
        <w:t xml:space="preserve">The method for screening potentially contaminated apartments consists </w:t>
      </w:r>
      <w:r w:rsidR="00ED59F3">
        <w:t>of</w:t>
      </w:r>
      <w:r w:rsidRPr="00086378">
        <w:t xml:space="preserve"> measurements of the ambient dose rate at 0.1 and 1 m high on a 1m × 1m grid. When dose rate measurements are all lower than 0.1 </w:t>
      </w:r>
      <w:proofErr w:type="spellStart"/>
      <w:r w:rsidR="00C30BF8" w:rsidRPr="00C30BF8">
        <w:t>μ</w:t>
      </w:r>
      <w:r w:rsidRPr="00086378">
        <w:t>Sv</w:t>
      </w:r>
      <w:proofErr w:type="spellEnd"/>
      <w:r w:rsidR="00C30BF8">
        <w:t xml:space="preserve"> </w:t>
      </w:r>
      <w:r w:rsidRPr="00086378">
        <w:t>h</w:t>
      </w:r>
      <w:r w:rsidR="00C30BF8" w:rsidRPr="00667C97">
        <w:rPr>
          <w:vertAlign w:val="superscript"/>
        </w:rPr>
        <w:t>−</w:t>
      </w:r>
      <w:r w:rsidRPr="00667C97">
        <w:rPr>
          <w:vertAlign w:val="superscript"/>
        </w:rPr>
        <w:t>1</w:t>
      </w:r>
      <w:r w:rsidRPr="00086378">
        <w:t xml:space="preserve"> above the background, no further action is required. If one or more measurements exceed 0.1 </w:t>
      </w:r>
      <w:proofErr w:type="spellStart"/>
      <w:r w:rsidR="00C30BF8" w:rsidRPr="00C30BF8">
        <w:t>μ</w:t>
      </w:r>
      <w:r w:rsidRPr="00086378">
        <w:t>Sv</w:t>
      </w:r>
      <w:proofErr w:type="spellEnd"/>
      <w:r w:rsidR="00C30BF8">
        <w:t xml:space="preserve"> </w:t>
      </w:r>
      <w:r w:rsidRPr="00086378">
        <w:t>h</w:t>
      </w:r>
      <w:r w:rsidR="00C30BF8" w:rsidRPr="00667C97">
        <w:rPr>
          <w:vertAlign w:val="superscript"/>
        </w:rPr>
        <w:t>−</w:t>
      </w:r>
      <w:r w:rsidRPr="00667C97">
        <w:rPr>
          <w:vertAlign w:val="superscript"/>
        </w:rPr>
        <w:t>1</w:t>
      </w:r>
      <w:r w:rsidRPr="00086378">
        <w:t>, then additional measurements are performed (0.2m × 0.5m grid) and the contamination is measured with smears to evaluate the labile contamination. Based on these results, a dose assessment is performed to evaluate the maximum dose that may be received in each room. If estimated doses exceed 1 mSv</w:t>
      </w:r>
      <w:r w:rsidR="00C30BF8">
        <w:t xml:space="preserve"> </w:t>
      </w:r>
      <w:r w:rsidRPr="00086378">
        <w:t>y</w:t>
      </w:r>
      <w:r w:rsidR="00C30BF8">
        <w:t>ear</w:t>
      </w:r>
      <w:r w:rsidR="00C30BF8" w:rsidRPr="00667C97">
        <w:rPr>
          <w:vertAlign w:val="superscript"/>
        </w:rPr>
        <w:t>−</w:t>
      </w:r>
      <w:r w:rsidRPr="00667C97">
        <w:rPr>
          <w:vertAlign w:val="superscript"/>
        </w:rPr>
        <w:t>1</w:t>
      </w:r>
      <w:r w:rsidRPr="00086378">
        <w:t xml:space="preserve">, remediation is </w:t>
      </w:r>
      <w:proofErr w:type="gramStart"/>
      <w:r w:rsidRPr="00086378">
        <w:t>justified</w:t>
      </w:r>
      <w:proofErr w:type="gramEnd"/>
      <w:r w:rsidRPr="00086378">
        <w:t xml:space="preserve"> and a remediation plan is prepared (often based on a more detailed characterisation). Remediation costs are supported by FOPH </w:t>
      </w:r>
      <w:proofErr w:type="gramStart"/>
      <w:r w:rsidRPr="00086378">
        <w:t>as long as</w:t>
      </w:r>
      <w:proofErr w:type="gramEnd"/>
      <w:r w:rsidRPr="00086378">
        <w:t xml:space="preserve"> the polluter cannot be identified. If the presence of radium is confirmed but estimated doses are lower than 1 mSv</w:t>
      </w:r>
      <w:r w:rsidR="00C30BF8">
        <w:t xml:space="preserve"> </w:t>
      </w:r>
      <w:r w:rsidRPr="00086378">
        <w:t>y</w:t>
      </w:r>
      <w:r w:rsidR="00C30BF8">
        <w:t>ear</w:t>
      </w:r>
      <w:r w:rsidR="00C30BF8" w:rsidRPr="00667C97">
        <w:rPr>
          <w:vertAlign w:val="superscript"/>
        </w:rPr>
        <w:t>−</w:t>
      </w:r>
      <w:r w:rsidRPr="00667C97">
        <w:rPr>
          <w:vertAlign w:val="superscript"/>
        </w:rPr>
        <w:t>1</w:t>
      </w:r>
      <w:r w:rsidRPr="00086378">
        <w:t xml:space="preserve">, remediation is not justified. If owners desire to remediate the apartment for </w:t>
      </w:r>
      <w:r w:rsidR="00393EA3">
        <w:t xml:space="preserve">an </w:t>
      </w:r>
      <w:r w:rsidRPr="00086378">
        <w:t>effective dose lower than 1 mSv</w:t>
      </w:r>
      <w:r w:rsidR="00C30BF8">
        <w:t xml:space="preserve"> </w:t>
      </w:r>
      <w:proofErr w:type="gramStart"/>
      <w:r w:rsidRPr="00086378">
        <w:t>y</w:t>
      </w:r>
      <w:r w:rsidR="00C30BF8">
        <w:t>ear</w:t>
      </w:r>
      <w:r w:rsidR="00C30BF8" w:rsidRPr="00667C97">
        <w:rPr>
          <w:vertAlign w:val="superscript"/>
        </w:rPr>
        <w:t>−</w:t>
      </w:r>
      <w:r w:rsidRPr="00667C97">
        <w:rPr>
          <w:vertAlign w:val="superscript"/>
        </w:rPr>
        <w:t>1</w:t>
      </w:r>
      <w:proofErr w:type="gramEnd"/>
      <w:r w:rsidRPr="00086378">
        <w:t>, then they must support the costs. </w:t>
      </w:r>
    </w:p>
    <w:p w14:paraId="67FAAACB" w14:textId="68CB1F3C" w:rsidR="00685042" w:rsidRPr="00086378" w:rsidRDefault="00685042" w:rsidP="00A535F2">
      <w:pPr>
        <w:pStyle w:val="ICRPannexparagraph"/>
      </w:pPr>
      <w:r w:rsidRPr="00086378">
        <w:t xml:space="preserve">The company in charge of remediation submits a plan to FOPH who approves it. Radiation protection of remediation workers and the environment must be </w:t>
      </w:r>
      <w:proofErr w:type="gramStart"/>
      <w:r w:rsidRPr="00086378">
        <w:t>detailed</w:t>
      </w:r>
      <w:proofErr w:type="gramEnd"/>
      <w:r w:rsidRPr="00086378">
        <w:t xml:space="preserve"> and workers are considered and managed as occupationally exposed workers. The company must be authorised to perform the job</w:t>
      </w:r>
      <w:r w:rsidR="003D1F8E">
        <w:t>,</w:t>
      </w:r>
      <w:r w:rsidRPr="00086378">
        <w:t xml:space="preserve"> and the activity is monitored by competent authorities. Remediation waste </w:t>
      </w:r>
      <w:r w:rsidR="007D36C0">
        <w:t>is</w:t>
      </w:r>
      <w:r w:rsidRPr="00086378">
        <w:t xml:space="preserve"> managed according to the regulation. In most cases, </w:t>
      </w:r>
      <w:r w:rsidR="00347FA7">
        <w:t xml:space="preserve">the </w:t>
      </w:r>
      <w:r w:rsidRPr="00086378">
        <w:t>remediation plan is specific for each site (removal of contaminated objects, removal of floor covering, blasting of surface painting, etc.). </w:t>
      </w:r>
    </w:p>
    <w:p w14:paraId="167728A2" w14:textId="7A050860" w:rsidR="00685042" w:rsidRPr="00086378" w:rsidRDefault="00685042" w:rsidP="00A535F2">
      <w:pPr>
        <w:pStyle w:val="ICRPannexparagraph"/>
      </w:pPr>
      <w:r w:rsidRPr="00086378">
        <w:t xml:space="preserve">The amount of waste must be kept to </w:t>
      </w:r>
      <w:r w:rsidR="00B00190">
        <w:t>a</w:t>
      </w:r>
      <w:r w:rsidRPr="00086378">
        <w:t xml:space="preserve"> minimum. At the end of the remediation work, a final survey is performed by FOPH. Waste with a level of radioactivity below the release limit is treated as conventional waste. A provision of the RPO allows that slightly radium contaminated combustible wastes are incinerated up to a weekly activity of 2 MBq. Wastes with a higher activity are considered and managed as radioactive waste.</w:t>
      </w:r>
    </w:p>
    <w:p w14:paraId="745E7E21" w14:textId="55A8C7F5" w:rsidR="00685042" w:rsidRPr="00086378" w:rsidRDefault="00685042" w:rsidP="00A535F2">
      <w:pPr>
        <w:pStyle w:val="ICRPannexparagraph"/>
      </w:pPr>
      <w:r w:rsidRPr="00086378">
        <w:lastRenderedPageBreak/>
        <w:t xml:space="preserve">Effective doses are estimated for any current or future occupant based on measurement results and exposure scenarios. </w:t>
      </w:r>
      <w:r w:rsidR="00EC21C8">
        <w:t>The a</w:t>
      </w:r>
      <w:r w:rsidRPr="00086378">
        <w:t>verage cost of an indoor remediation is around 50</w:t>
      </w:r>
      <w:r w:rsidR="00C30BF8">
        <w:t>,</w:t>
      </w:r>
      <w:r w:rsidRPr="009D308F">
        <w:t>000 US</w:t>
      </w:r>
      <w:r w:rsidR="009D308F">
        <w:t>D</w:t>
      </w:r>
      <w:r w:rsidRPr="009D308F">
        <w:t>.</w:t>
      </w:r>
    </w:p>
    <w:p w14:paraId="3B85BB1A" w14:textId="0906CB65" w:rsidR="00B801BB" w:rsidRPr="0025350C" w:rsidRDefault="00685042" w:rsidP="00A535F2">
      <w:pPr>
        <w:pStyle w:val="ICRPannexparagraph"/>
      </w:pPr>
      <w:r w:rsidRPr="00086378">
        <w:t xml:space="preserve">For outdoor areas (mainly gardens), the ambient dose rate is measured at 1 m and 0.1 m high on a 1m × 1m grid. If the dose rate is above 0.1 </w:t>
      </w:r>
      <w:proofErr w:type="spellStart"/>
      <w:r w:rsidR="00C30BF8" w:rsidRPr="00C30BF8">
        <w:t>μ</w:t>
      </w:r>
      <w:r w:rsidRPr="00086378">
        <w:t>Sv</w:t>
      </w:r>
      <w:proofErr w:type="spellEnd"/>
      <w:r w:rsidR="00C30BF8">
        <w:t xml:space="preserve"> </w:t>
      </w:r>
      <w:r w:rsidRPr="00086378">
        <w:t>h</w:t>
      </w:r>
      <w:r w:rsidR="00C30BF8" w:rsidRPr="00667C97">
        <w:rPr>
          <w:vertAlign w:val="superscript"/>
        </w:rPr>
        <w:t>−</w:t>
      </w:r>
      <w:r w:rsidRPr="00667C97">
        <w:rPr>
          <w:vertAlign w:val="superscript"/>
        </w:rPr>
        <w:t>1</w:t>
      </w:r>
      <w:r w:rsidRPr="00086378">
        <w:t xml:space="preserve">, then soil samples are </w:t>
      </w:r>
      <w:r w:rsidR="00DB1558" w:rsidRPr="00086378">
        <w:t>analysed</w:t>
      </w:r>
      <w:r w:rsidRPr="00086378">
        <w:t xml:space="preserve"> by gamma spectroscopy measurements. No action is required if the activity of radium </w:t>
      </w:r>
      <w:r w:rsidR="00DB1558">
        <w:t xml:space="preserve">is </w:t>
      </w:r>
      <w:r w:rsidRPr="00086378">
        <w:t>lower than 1000 Bq</w:t>
      </w:r>
      <w:r w:rsidR="00C30BF8">
        <w:t xml:space="preserve"> </w:t>
      </w:r>
      <w:proofErr w:type="gramStart"/>
      <w:r w:rsidRPr="00086378">
        <w:t>kg</w:t>
      </w:r>
      <w:r w:rsidR="00C30BF8" w:rsidRPr="00667C97">
        <w:rPr>
          <w:vertAlign w:val="superscript"/>
        </w:rPr>
        <w:t>−</w:t>
      </w:r>
      <w:r w:rsidRPr="00667C97">
        <w:rPr>
          <w:vertAlign w:val="superscript"/>
        </w:rPr>
        <w:t>1</w:t>
      </w:r>
      <w:proofErr w:type="gramEnd"/>
      <w:r w:rsidRPr="00086378">
        <w:t xml:space="preserve">. When the ground is contaminated, a characterisation is required </w:t>
      </w:r>
      <w:proofErr w:type="gramStart"/>
      <w:r w:rsidRPr="00086378">
        <w:t>in order to</w:t>
      </w:r>
      <w:proofErr w:type="gramEnd"/>
      <w:r w:rsidRPr="00086378">
        <w:t xml:space="preserve"> define the remediation perimeter. According to the RPO, landfill of slightly contaminated inert waste is allowed under certain conditions if the specific activity does not exceed 10</w:t>
      </w:r>
      <w:r w:rsidR="00C30BF8">
        <w:t>,</w:t>
      </w:r>
      <w:r w:rsidRPr="00086378">
        <w:t>000 Bq</w:t>
      </w:r>
      <w:r w:rsidR="00C30BF8">
        <w:t xml:space="preserve"> </w:t>
      </w:r>
      <w:proofErr w:type="gramStart"/>
      <w:r w:rsidRPr="00086378">
        <w:t>kg</w:t>
      </w:r>
      <w:r w:rsidR="00C30BF8" w:rsidRPr="00667C97">
        <w:rPr>
          <w:vertAlign w:val="superscript"/>
        </w:rPr>
        <w:t>−</w:t>
      </w:r>
      <w:r w:rsidRPr="00667C97">
        <w:rPr>
          <w:vertAlign w:val="superscript"/>
        </w:rPr>
        <w:t>1</w:t>
      </w:r>
      <w:proofErr w:type="gramEnd"/>
      <w:r w:rsidRPr="00086378">
        <w:t>. The average remediation cost for contaminated gardens amounts to 25</w:t>
      </w:r>
      <w:r w:rsidR="00C30BF8">
        <w:t>,</w:t>
      </w:r>
      <w:r w:rsidRPr="00086378">
        <w:t xml:space="preserve"> </w:t>
      </w:r>
      <w:r w:rsidRPr="009D308F">
        <w:t>000 US</w:t>
      </w:r>
      <w:r w:rsidR="009D308F">
        <w:t>D</w:t>
      </w:r>
      <w:r w:rsidRPr="009D308F">
        <w:t>.</w:t>
      </w:r>
    </w:p>
    <w:p w14:paraId="65CA3864" w14:textId="70B7A345" w:rsidR="00B801BB" w:rsidRPr="0025350C" w:rsidRDefault="00B801BB" w:rsidP="0025350C">
      <w:pPr>
        <w:pStyle w:val="ICRPannexheading3"/>
        <w:spacing w:before="240" w:after="240"/>
        <w:rPr>
          <w:b/>
          <w:bCs/>
        </w:rPr>
      </w:pPr>
      <w:r w:rsidRPr="0025350C">
        <w:rPr>
          <w:b/>
          <w:bCs/>
        </w:rPr>
        <w:t>Summary</w:t>
      </w:r>
    </w:p>
    <w:p w14:paraId="19E24A6B" w14:textId="2795485C" w:rsidR="00685042" w:rsidRPr="008B25CD" w:rsidRDefault="00685042" w:rsidP="00A535F2">
      <w:pPr>
        <w:pStyle w:val="ICRPannexparagraph"/>
      </w:pPr>
      <w:r w:rsidRPr="008B25CD">
        <w:t xml:space="preserve">As of </w:t>
      </w:r>
      <w:r w:rsidR="003C6C3C">
        <w:t xml:space="preserve">31 </w:t>
      </w:r>
      <w:r w:rsidRPr="008B25CD">
        <w:t>December 2018, about 20% of the 540 sites that were screened needed remediation, either indoor or outdoor.</w:t>
      </w:r>
    </w:p>
    <w:p w14:paraId="194DA88A" w14:textId="38E2E23E" w:rsidR="00685042" w:rsidRPr="008B25CD" w:rsidRDefault="00685042" w:rsidP="00A535F2">
      <w:pPr>
        <w:pStyle w:val="ICRPannexparagraph"/>
      </w:pPr>
      <w:r w:rsidRPr="008B25CD">
        <w:t>In a few cases, FOPH faced mixed pollution issues with radium</w:t>
      </w:r>
      <w:r w:rsidR="006A4213">
        <w:t>-</w:t>
      </w:r>
      <w:r w:rsidRPr="008B25CD">
        <w:t>contaminated site</w:t>
      </w:r>
      <w:r w:rsidR="00F44941">
        <w:t>s</w:t>
      </w:r>
      <w:r w:rsidRPr="008B25CD">
        <w:t xml:space="preserve"> in areas registered as (chemically) polluted site</w:t>
      </w:r>
      <w:r w:rsidR="00F44941">
        <w:t>s</w:t>
      </w:r>
      <w:r w:rsidRPr="008B25CD">
        <w:t xml:space="preserve">. These cases require coordination between FOPH and the Federal Office of the Environment </w:t>
      </w:r>
      <w:proofErr w:type="gramStart"/>
      <w:r w:rsidRPr="008B25CD">
        <w:t>in order to</w:t>
      </w:r>
      <w:proofErr w:type="gramEnd"/>
      <w:r w:rsidRPr="008B25CD">
        <w:t xml:space="preserve"> adequately address the issues and coordinate </w:t>
      </w:r>
      <w:r w:rsidR="00AE044C" w:rsidRPr="008B25CD">
        <w:t>remedia</w:t>
      </w:r>
      <w:r w:rsidR="00AE044C">
        <w:t>l</w:t>
      </w:r>
      <w:r w:rsidR="00AE044C" w:rsidRPr="008B25CD">
        <w:t xml:space="preserve"> </w:t>
      </w:r>
      <w:r w:rsidRPr="008B25CD">
        <w:t>actions.</w:t>
      </w:r>
    </w:p>
    <w:p w14:paraId="53477C6A" w14:textId="2BEDDD6C" w:rsidR="00685042" w:rsidRPr="008B25CD" w:rsidRDefault="00685042" w:rsidP="00A535F2">
      <w:pPr>
        <w:pStyle w:val="ICRPannexparagraph"/>
      </w:pPr>
      <w:r w:rsidRPr="008B25CD">
        <w:t>According to FOPH, the success of the radium action plan relies on good collaboration between occupants, apartment owners, FOPH, remediation companies, etc. Efforts from the various administrations are made to communicate effectively with owners and tenants to engage them in the process and to answer their questions and concerns (radi</w:t>
      </w:r>
      <w:r w:rsidR="00EC2BA3" w:rsidRPr="008B25CD">
        <w:t>ation</w:t>
      </w:r>
      <w:r w:rsidRPr="008B25CD">
        <w:t xml:space="preserve"> risk, potential loss of value of properties, etc.). Results from the implementation of the Radium Action Plan are public and available. An annual meeting is organised with the stakeholders to present and discuss </w:t>
      </w:r>
      <w:r w:rsidR="002209B8">
        <w:t xml:space="preserve">the </w:t>
      </w:r>
      <w:r w:rsidRPr="008B25CD">
        <w:t xml:space="preserve">progress that </w:t>
      </w:r>
      <w:r w:rsidR="002209B8">
        <w:t xml:space="preserve">has been </w:t>
      </w:r>
      <w:r w:rsidRPr="008B25CD">
        <w:t>made. </w:t>
      </w:r>
    </w:p>
    <w:p w14:paraId="787CD6E1" w14:textId="422D1B82" w:rsidR="00685042" w:rsidRPr="008B25CD" w:rsidRDefault="00685042" w:rsidP="00A535F2">
      <w:pPr>
        <w:pStyle w:val="ICRPannexparagraph"/>
      </w:pPr>
      <w:r w:rsidRPr="008B25CD">
        <w:t xml:space="preserve">Whereas the Radium Action Plan was agreed </w:t>
      </w:r>
      <w:r w:rsidR="002209B8">
        <w:t xml:space="preserve">upon </w:t>
      </w:r>
      <w:r w:rsidRPr="008B25CD">
        <w:t xml:space="preserve">by the Federal Government and financed for </w:t>
      </w:r>
      <w:r w:rsidR="00B07680">
        <w:t>four years</w:t>
      </w:r>
      <w:r w:rsidRPr="008B25CD">
        <w:t xml:space="preserve"> (2015</w:t>
      </w:r>
      <w:r w:rsidR="003C6C3C">
        <w:t>–</w:t>
      </w:r>
      <w:r w:rsidRPr="008B25CD">
        <w:t>2019), the historical survey showed that approximately 1000 buildings could be potentially contaminated, wh</w:t>
      </w:r>
      <w:r w:rsidR="00474AEC">
        <w:t>ereas</w:t>
      </w:r>
      <w:r w:rsidRPr="008B25CD">
        <w:t xml:space="preserve"> 500 to 600 were expected. On </w:t>
      </w:r>
      <w:r w:rsidR="003C6C3C">
        <w:t xml:space="preserve">10 </w:t>
      </w:r>
      <w:proofErr w:type="gramStart"/>
      <w:r w:rsidRPr="008B25CD">
        <w:t>April</w:t>
      </w:r>
      <w:r w:rsidR="00474AEC">
        <w:t xml:space="preserve">  </w:t>
      </w:r>
      <w:r w:rsidRPr="008B25CD">
        <w:t>2019</w:t>
      </w:r>
      <w:proofErr w:type="gramEnd"/>
      <w:r w:rsidRPr="008B25CD">
        <w:t xml:space="preserve">, the Federal Government agreed </w:t>
      </w:r>
      <w:r w:rsidR="00D6040D">
        <w:t xml:space="preserve">to </w:t>
      </w:r>
      <w:r w:rsidRPr="008B25CD">
        <w:t xml:space="preserve">a 3 </w:t>
      </w:r>
      <w:r w:rsidR="00B626DF" w:rsidRPr="008B25CD">
        <w:t>years’</w:t>
      </w:r>
      <w:r w:rsidRPr="008B25CD">
        <w:t xml:space="preserve"> extension of the plan (until 2022). </w:t>
      </w:r>
    </w:p>
    <w:p w14:paraId="684C76EA" w14:textId="77777777" w:rsidR="00685042" w:rsidRPr="008B25CD" w:rsidRDefault="00685042" w:rsidP="00A535F2">
      <w:pPr>
        <w:pStyle w:val="ICRPannexparagraph"/>
      </w:pPr>
      <w:r w:rsidRPr="008B25CD">
        <w:t xml:space="preserve">When a residual material cannot be cleared, </w:t>
      </w:r>
      <w:proofErr w:type="gramStart"/>
      <w:r w:rsidRPr="008B25CD">
        <w:t>recycled</w:t>
      </w:r>
      <w:proofErr w:type="gramEnd"/>
      <w:r w:rsidRPr="008B25CD">
        <w:t xml:space="preserve"> or reused, it is designated as radioactive waste. Its management should follow the national policy framework for radioactive waste management.</w:t>
      </w:r>
    </w:p>
    <w:p w14:paraId="7A5274AC" w14:textId="6AC09398" w:rsidR="00B801BB" w:rsidRPr="00EE2D62" w:rsidRDefault="00685042" w:rsidP="00EE2D62">
      <w:pPr>
        <w:pStyle w:val="ICRPannexparagraph"/>
      </w:pPr>
      <w:r w:rsidRPr="008B25CD">
        <w:t>The involvement of stakeholders in decisions on the management of residues is essential in gaining acceptance of the remediation project.</w:t>
      </w:r>
    </w:p>
    <w:p w14:paraId="7CC5CBE1" w14:textId="24971B17" w:rsidR="003014C8" w:rsidRPr="003014C8" w:rsidRDefault="003014C8" w:rsidP="00FD6C60">
      <w:pPr>
        <w:pStyle w:val="ICRPannexheading2"/>
        <w:ind w:left="576"/>
        <w:rPr>
          <w:lang w:val="en-US"/>
        </w:rPr>
      </w:pPr>
      <w:bookmarkStart w:id="118" w:name="_Toc166586824"/>
      <w:r w:rsidRPr="003014C8">
        <w:rPr>
          <w:lang w:val="en-US"/>
        </w:rPr>
        <w:t xml:space="preserve">Techa </w:t>
      </w:r>
      <w:r w:rsidR="005646D4">
        <w:rPr>
          <w:lang w:val="en-US"/>
        </w:rPr>
        <w:t>R</w:t>
      </w:r>
      <w:r w:rsidRPr="003014C8">
        <w:rPr>
          <w:lang w:val="en-US"/>
        </w:rPr>
        <w:t>iver</w:t>
      </w:r>
      <w:bookmarkEnd w:id="118"/>
    </w:p>
    <w:p w14:paraId="4B2B682E" w14:textId="081F1AAF" w:rsidR="003014C8" w:rsidRPr="00AC075C" w:rsidRDefault="00AC075C" w:rsidP="00AC075C">
      <w:pPr>
        <w:pStyle w:val="ICRPannexheading3"/>
        <w:spacing w:before="240" w:after="240"/>
        <w:rPr>
          <w:rFonts w:eastAsia="ＭＳ 明朝"/>
          <w:b/>
          <w:bCs/>
        </w:rPr>
      </w:pPr>
      <w:r w:rsidRPr="00AC075C">
        <w:rPr>
          <w:rFonts w:eastAsia="ＭＳ 明朝" w:hint="eastAsia"/>
          <w:b/>
          <w:bCs/>
          <w:lang w:eastAsia="ja-JP"/>
        </w:rPr>
        <w:t>Background</w:t>
      </w:r>
    </w:p>
    <w:p w14:paraId="5B4886D9" w14:textId="609A7C8A" w:rsidR="003014C8" w:rsidRPr="004840B1" w:rsidRDefault="003014C8" w:rsidP="001F2B03">
      <w:pPr>
        <w:pStyle w:val="ICRPannexparagraph"/>
      </w:pPr>
      <w:r w:rsidRPr="004840B1">
        <w:t>The Production Ass</w:t>
      </w:r>
      <w:r w:rsidR="0052164B">
        <w:t>o</w:t>
      </w:r>
      <w:r w:rsidRPr="004840B1">
        <w:t xml:space="preserve">ciation </w:t>
      </w:r>
      <w:r w:rsidR="00877196">
        <w:t>‘</w:t>
      </w:r>
      <w:r w:rsidRPr="004840B1">
        <w:t>Mayak</w:t>
      </w:r>
      <w:r w:rsidR="00877196">
        <w:t>’</w:t>
      </w:r>
      <w:r w:rsidRPr="004840B1">
        <w:t xml:space="preserve">, the first Soviet nuclear weapon enterprise constructed </w:t>
      </w:r>
      <w:proofErr w:type="gramStart"/>
      <w:r w:rsidRPr="004840B1">
        <w:t>for the production of</w:t>
      </w:r>
      <w:proofErr w:type="gramEnd"/>
      <w:r w:rsidRPr="004840B1">
        <w:t xml:space="preserve"> plutonium, located in the Chelyabinsk Region of the Urals in the </w:t>
      </w:r>
      <w:r w:rsidR="00877196" w:rsidRPr="00877196">
        <w:t>Union of Soviet Socialist Republics</w:t>
      </w:r>
      <w:r w:rsidRPr="004840B1">
        <w:t xml:space="preserve"> (</w:t>
      </w:r>
      <w:r w:rsidR="00877196">
        <w:t xml:space="preserve">USSR, </w:t>
      </w:r>
      <w:r w:rsidRPr="004840B1">
        <w:t xml:space="preserve">currently the Russian Federation), was put in operation in June 1948. A processing complex of Mayak included graphite-moderated uranium reactors to produce plutonium, radiochemical production for its isolation, chemical-metallurgical production of plutonium items. In the early 1950s, there were authorised as well as accidental releases of liquid radioactive wastes to the Techa River from Mayak. These </w:t>
      </w:r>
      <w:r w:rsidRPr="004840B1">
        <w:lastRenderedPageBreak/>
        <w:t xml:space="preserve">releases caused high contamination of the riverbed and flood plains of the Techa River with a mixture of fission products, including the long-lived radionuclides </w:t>
      </w:r>
      <w:r w:rsidRPr="00667C97">
        <w:rPr>
          <w:vertAlign w:val="superscript"/>
        </w:rPr>
        <w:t>90</w:t>
      </w:r>
      <w:r w:rsidRPr="004840B1">
        <w:t xml:space="preserve">Sr and </w:t>
      </w:r>
      <w:r w:rsidRPr="00667C97">
        <w:rPr>
          <w:vertAlign w:val="superscript"/>
        </w:rPr>
        <w:t>137</w:t>
      </w:r>
      <w:r w:rsidRPr="004840B1">
        <w:t xml:space="preserve">Cs. In total, from 1949 until 1956, about 76 million cubic meters of radioactive material released to the environment </w:t>
      </w:r>
      <w:r w:rsidRPr="0011734B">
        <w:t>discharge was</w:t>
      </w:r>
      <w:r w:rsidRPr="004840B1">
        <w:t xml:space="preserve">te, with a total activity of about 115 PBq, were released to the river waters. About 95% of the radioactivity was released to the river from October 1950 until November 1951. The main contribution to the total activity of the releases was provided by the following radionuclides: </w:t>
      </w:r>
      <w:r w:rsidRPr="00667C97">
        <w:rPr>
          <w:vertAlign w:val="superscript"/>
        </w:rPr>
        <w:t>89</w:t>
      </w:r>
      <w:r w:rsidRPr="004840B1">
        <w:t xml:space="preserve">Sr, </w:t>
      </w:r>
      <w:r w:rsidRPr="00667C97">
        <w:rPr>
          <w:vertAlign w:val="superscript"/>
        </w:rPr>
        <w:t>90</w:t>
      </w:r>
      <w:r w:rsidRPr="004840B1">
        <w:t xml:space="preserve">Sr, </w:t>
      </w:r>
      <w:r w:rsidRPr="00667C97">
        <w:rPr>
          <w:vertAlign w:val="superscript"/>
        </w:rPr>
        <w:t>137</w:t>
      </w:r>
      <w:r w:rsidRPr="004840B1">
        <w:t xml:space="preserve">Cs, </w:t>
      </w:r>
      <w:r w:rsidRPr="00667C97">
        <w:rPr>
          <w:vertAlign w:val="superscript"/>
        </w:rPr>
        <w:t>95</w:t>
      </w:r>
      <w:r w:rsidRPr="004840B1">
        <w:t>Zr-</w:t>
      </w:r>
      <w:r w:rsidRPr="00667C97">
        <w:rPr>
          <w:vertAlign w:val="superscript"/>
        </w:rPr>
        <w:t>95</w:t>
      </w:r>
      <w:r w:rsidRPr="004840B1">
        <w:t xml:space="preserve">Nb, </w:t>
      </w:r>
      <w:r w:rsidRPr="00667C97">
        <w:rPr>
          <w:vertAlign w:val="superscript"/>
        </w:rPr>
        <w:t>103</w:t>
      </w:r>
      <w:r w:rsidRPr="004840B1">
        <w:t xml:space="preserve">Ru, </w:t>
      </w:r>
      <w:r w:rsidRPr="00667C97">
        <w:rPr>
          <w:vertAlign w:val="superscript"/>
        </w:rPr>
        <w:t>106</w:t>
      </w:r>
      <w:r w:rsidRPr="004840B1">
        <w:t xml:space="preserve">Ru, and isotopes of rare-earth elements </w:t>
      </w:r>
      <w:r w:rsidR="00A6188B" w:rsidRPr="004840B1">
        <w:t>(Akleyev et al., 2000;</w:t>
      </w:r>
      <w:r w:rsidR="00A6188B" w:rsidRPr="00A6188B">
        <w:t xml:space="preserve"> </w:t>
      </w:r>
      <w:r w:rsidR="00A6188B">
        <w:t xml:space="preserve">Shoigu, </w:t>
      </w:r>
      <w:r w:rsidR="00A6188B" w:rsidRPr="00015768">
        <w:t>2002</w:t>
      </w:r>
      <w:r w:rsidR="00A6188B">
        <w:rPr>
          <w:rFonts w:hint="eastAsia"/>
        </w:rPr>
        <w:t>;</w:t>
      </w:r>
      <w:r w:rsidR="00A6188B">
        <w:t xml:space="preserve"> </w:t>
      </w:r>
      <w:r w:rsidR="00A6188B" w:rsidRPr="004840B1">
        <w:t>Alexakhin et al., 2004;</w:t>
      </w:r>
      <w:r w:rsidR="00A6188B" w:rsidRPr="00A6188B">
        <w:t xml:space="preserve"> </w:t>
      </w:r>
      <w:r w:rsidR="00A6188B">
        <w:t>Akleyev, 2016</w:t>
      </w:r>
      <w:r w:rsidR="00A6188B">
        <w:rPr>
          <w:rFonts w:hint="eastAsia"/>
        </w:rPr>
        <w:t>;</w:t>
      </w:r>
      <w:r w:rsidR="00A6188B" w:rsidRPr="004840B1">
        <w:t xml:space="preserve"> Degteva et al., 2016)</w:t>
      </w:r>
      <w:r w:rsidRPr="004840B1">
        <w:t>. Releases into the Techa River resulted in its contamination through entire length (area of about 240 km), as well as contamination of part of the Iset River where the Techa River inflows. </w:t>
      </w:r>
    </w:p>
    <w:p w14:paraId="6A68F224" w14:textId="32D35218" w:rsidR="003014C8" w:rsidRPr="00BD22B0" w:rsidRDefault="003014C8" w:rsidP="001F2B03">
      <w:pPr>
        <w:pStyle w:val="ICRPannexparagraph"/>
      </w:pPr>
      <w:r w:rsidRPr="004840B1">
        <w:t xml:space="preserve">A large </w:t>
      </w:r>
      <w:proofErr w:type="gramStart"/>
      <w:r w:rsidRPr="004840B1">
        <w:t>amount</w:t>
      </w:r>
      <w:proofErr w:type="gramEnd"/>
      <w:r w:rsidRPr="004840B1">
        <w:t xml:space="preserve"> of radionuclides was deposited in the river bottom, and later on it became a source of secondary contamination of river water. Spring floods, particularly those of 1951, were the main factor causing a massive radioactive contamination of the Techa River flood plains and banks. The heaviest radioactive contamination of the river water, flood plain, area outside the flood plain, as well as of agricultural products occurred in the upper reaches of the Techa, including the </w:t>
      </w:r>
      <w:proofErr w:type="spellStart"/>
      <w:r w:rsidRPr="004840B1">
        <w:t>Metlinsky</w:t>
      </w:r>
      <w:proofErr w:type="spellEnd"/>
      <w:r w:rsidRPr="004840B1">
        <w:t xml:space="preserve"> pond. In 1951 contamination of soil in village </w:t>
      </w:r>
      <w:proofErr w:type="spellStart"/>
      <w:r w:rsidRPr="004840B1">
        <w:t>Metlino</w:t>
      </w:r>
      <w:proofErr w:type="spellEnd"/>
      <w:r w:rsidRPr="004840B1">
        <w:t>, the first village on the river (7 km downstream from the release site), reached 100 kBq kg</w:t>
      </w:r>
      <w:r w:rsidR="00EB2DE5" w:rsidRPr="00667C97">
        <w:rPr>
          <w:vertAlign w:val="superscript"/>
        </w:rPr>
        <w:t>−</w:t>
      </w:r>
      <w:r w:rsidRPr="00667C97">
        <w:rPr>
          <w:vertAlign w:val="superscript"/>
        </w:rPr>
        <w:t>1</w:t>
      </w:r>
      <w:r w:rsidRPr="004840B1">
        <w:t xml:space="preserve">, </w:t>
      </w:r>
      <w:proofErr w:type="gramStart"/>
      <w:r w:rsidRPr="004840B1">
        <w:t>plant</w:t>
      </w:r>
      <w:proofErr w:type="gramEnd"/>
      <w:r w:rsidRPr="004840B1">
        <w:t xml:space="preserve"> and animal products – 1</w:t>
      </w:r>
      <w:r w:rsidR="00EB2DE5">
        <w:t>–</w:t>
      </w:r>
      <w:r w:rsidRPr="004840B1">
        <w:t>1000 kBq kg</w:t>
      </w:r>
      <w:r w:rsidR="00EB2DE5" w:rsidRPr="00667C97">
        <w:rPr>
          <w:vertAlign w:val="superscript"/>
        </w:rPr>
        <w:t>−</w:t>
      </w:r>
      <w:r w:rsidRPr="00667C97">
        <w:rPr>
          <w:vertAlign w:val="superscript"/>
        </w:rPr>
        <w:t>1</w:t>
      </w:r>
      <w:r w:rsidRPr="004840B1">
        <w:t xml:space="preserve">. The exposure rate on the banks of the Techa river and pond in </w:t>
      </w:r>
      <w:proofErr w:type="spellStart"/>
      <w:r w:rsidRPr="004840B1">
        <w:t>Metlino</w:t>
      </w:r>
      <w:proofErr w:type="spellEnd"/>
      <w:r w:rsidRPr="004840B1">
        <w:t xml:space="preserve"> was 1.5–2.0 mGy h</w:t>
      </w:r>
      <w:r w:rsidR="009D10CF" w:rsidRPr="00667C97">
        <w:rPr>
          <w:vertAlign w:val="superscript"/>
        </w:rPr>
        <w:t>−</w:t>
      </w:r>
      <w:r w:rsidRPr="00667C97">
        <w:rPr>
          <w:vertAlign w:val="superscript"/>
        </w:rPr>
        <w:t>1</w:t>
      </w:r>
      <w:r w:rsidRPr="004840B1">
        <w:t xml:space="preserve"> on average. Until the end of 1952, </w:t>
      </w:r>
      <w:r w:rsidRPr="00667C97">
        <w:rPr>
          <w:vertAlign w:val="superscript"/>
        </w:rPr>
        <w:t>95</w:t>
      </w:r>
      <w:r w:rsidRPr="004840B1">
        <w:t xml:space="preserve">Zr and </w:t>
      </w:r>
      <w:r w:rsidRPr="00667C97">
        <w:rPr>
          <w:vertAlign w:val="superscript"/>
        </w:rPr>
        <w:t>95</w:t>
      </w:r>
      <w:r w:rsidRPr="004840B1">
        <w:t xml:space="preserve">Nb provided a significant contribution to the external exposure, after which the external exposure was determined by long-lived </w:t>
      </w:r>
      <w:r w:rsidRPr="00667C97">
        <w:rPr>
          <w:vertAlign w:val="superscript"/>
        </w:rPr>
        <w:t>137</w:t>
      </w:r>
      <w:r w:rsidRPr="004840B1">
        <w:t xml:space="preserve">Cs. In 1953–1956 in some settlements the exposure rate measurements on the streets and backyards at different distances from the water's edge were carried out. According to those results the exposure rate greatly decreased with distance from the water's edge, especially during the first 100 meters by about two orders of magnitude. This clearly shows that the distribution of the exposure rate on the banks of the Techa River and in the territory of settlements was extremely uneven. Downstream the village of </w:t>
      </w:r>
      <w:proofErr w:type="spellStart"/>
      <w:r w:rsidRPr="004840B1">
        <w:t>Muslyumovo</w:t>
      </w:r>
      <w:proofErr w:type="spellEnd"/>
      <w:r w:rsidRPr="004840B1">
        <w:t xml:space="preserve"> (78 km from the release site), the radioactive contamination of the flood plain is also highly inhomogeneous. The density of </w:t>
      </w:r>
      <w:r w:rsidRPr="00667C97">
        <w:rPr>
          <w:vertAlign w:val="superscript"/>
        </w:rPr>
        <w:t>90</w:t>
      </w:r>
      <w:r w:rsidRPr="004840B1">
        <w:t>Sr contamination in the flood plain ranges from 30 to 6100 kBq m</w:t>
      </w:r>
      <w:r w:rsidR="00540F04" w:rsidRPr="00667C97">
        <w:rPr>
          <w:vertAlign w:val="superscript"/>
        </w:rPr>
        <w:t>−</w:t>
      </w:r>
      <w:r w:rsidRPr="00667C97">
        <w:rPr>
          <w:vertAlign w:val="superscript"/>
        </w:rPr>
        <w:t>2</w:t>
      </w:r>
      <w:r w:rsidRPr="004840B1">
        <w:t xml:space="preserve">, </w:t>
      </w:r>
      <w:r w:rsidRPr="00667C97">
        <w:rPr>
          <w:vertAlign w:val="superscript"/>
        </w:rPr>
        <w:t>137</w:t>
      </w:r>
      <w:r w:rsidRPr="004840B1">
        <w:t>Cs – 30</w:t>
      </w:r>
      <w:r w:rsidR="00540F04">
        <w:t>–</w:t>
      </w:r>
      <w:r w:rsidRPr="004840B1">
        <w:t>5600 kBq m</w:t>
      </w:r>
      <w:r w:rsidR="00540F04" w:rsidRPr="00667C97">
        <w:rPr>
          <w:vertAlign w:val="superscript"/>
        </w:rPr>
        <w:t>−</w:t>
      </w:r>
      <w:r w:rsidRPr="00667C97">
        <w:rPr>
          <w:vertAlign w:val="superscript"/>
        </w:rPr>
        <w:t>2</w:t>
      </w:r>
      <w:r w:rsidRPr="004840B1">
        <w:t>.</w:t>
      </w:r>
    </w:p>
    <w:p w14:paraId="571E452A" w14:textId="7640C7E2" w:rsidR="003014C8" w:rsidRPr="00AC075C" w:rsidRDefault="00AC075C" w:rsidP="00AC075C">
      <w:pPr>
        <w:pStyle w:val="ICRPannexheading3"/>
        <w:spacing w:before="240" w:after="240"/>
        <w:rPr>
          <w:b/>
          <w:bCs/>
        </w:rPr>
      </w:pPr>
      <w:r w:rsidRPr="00AC075C">
        <w:rPr>
          <w:rFonts w:eastAsiaTheme="minorEastAsia"/>
          <w:b/>
          <w:bCs/>
          <w:lang w:eastAsia="ja-JP"/>
        </w:rPr>
        <w:t>Exposure</w:t>
      </w:r>
      <w:r w:rsidR="003014C8" w:rsidRPr="00AC075C">
        <w:rPr>
          <w:b/>
          <w:bCs/>
        </w:rPr>
        <w:t xml:space="preserve"> </w:t>
      </w:r>
      <w:r w:rsidRPr="00AC075C">
        <w:rPr>
          <w:rFonts w:eastAsiaTheme="minorEastAsia"/>
          <w:b/>
          <w:bCs/>
          <w:lang w:eastAsia="ja-JP"/>
        </w:rPr>
        <w:t>pathways</w:t>
      </w:r>
      <w:r w:rsidR="003014C8" w:rsidRPr="00AC075C">
        <w:rPr>
          <w:b/>
          <w:bCs/>
        </w:rPr>
        <w:t xml:space="preserve"> </w:t>
      </w:r>
      <w:r w:rsidRPr="00AC075C">
        <w:rPr>
          <w:rFonts w:eastAsiaTheme="minorEastAsia"/>
          <w:b/>
          <w:bCs/>
          <w:lang w:eastAsia="ja-JP"/>
        </w:rPr>
        <w:t>of</w:t>
      </w:r>
      <w:r w:rsidR="003014C8" w:rsidRPr="00AC075C">
        <w:rPr>
          <w:b/>
          <w:bCs/>
        </w:rPr>
        <w:t xml:space="preserve"> </w:t>
      </w:r>
      <w:r w:rsidRPr="00AC075C">
        <w:rPr>
          <w:rFonts w:eastAsiaTheme="minorEastAsia"/>
          <w:b/>
          <w:bCs/>
          <w:lang w:eastAsia="ja-JP"/>
        </w:rPr>
        <w:t>concern</w:t>
      </w:r>
    </w:p>
    <w:p w14:paraId="04BF1D2B" w14:textId="45FA234F" w:rsidR="003014C8" w:rsidRPr="004840B1" w:rsidRDefault="003014C8" w:rsidP="0004088B">
      <w:pPr>
        <w:pStyle w:val="ICRPannexparagraph"/>
      </w:pPr>
      <w:r w:rsidRPr="004840B1">
        <w:t>High specific activity of radionuclides in the river water, used generally as drinking water, and local products including fish caused rather intensive internal exposure of the population. Another essential exposure pathway for those inhabitants was external irradiation from contamination of the area, mainly the flood plain (especially near the river mouth). Overall, external exposure of the population was rather high along the entire river length. Living under external and internal irradiation required the applications of measures on radiation protection of the inhabitants.</w:t>
      </w:r>
    </w:p>
    <w:p w14:paraId="32CEBCA2" w14:textId="649494AD" w:rsidR="003014C8" w:rsidRPr="0004088B" w:rsidRDefault="0004088B" w:rsidP="00AC075C">
      <w:pPr>
        <w:pStyle w:val="ICRPannexheading3"/>
        <w:spacing w:before="240" w:after="240"/>
        <w:rPr>
          <w:b/>
          <w:bCs/>
        </w:rPr>
      </w:pPr>
      <w:r w:rsidRPr="0004088B">
        <w:rPr>
          <w:rFonts w:eastAsiaTheme="minorEastAsia"/>
          <w:b/>
          <w:bCs/>
          <w:lang w:eastAsia="ja-JP"/>
        </w:rPr>
        <w:t>History</w:t>
      </w:r>
      <w:r w:rsidR="003014C8" w:rsidRPr="0004088B">
        <w:rPr>
          <w:b/>
          <w:bCs/>
        </w:rPr>
        <w:t xml:space="preserve"> </w:t>
      </w:r>
      <w:r w:rsidRPr="0004088B">
        <w:rPr>
          <w:b/>
          <w:bCs/>
        </w:rPr>
        <w:t>of</w:t>
      </w:r>
      <w:r w:rsidR="003014C8" w:rsidRPr="0004088B">
        <w:rPr>
          <w:b/>
          <w:bCs/>
        </w:rPr>
        <w:t xml:space="preserve"> </w:t>
      </w:r>
      <w:r w:rsidR="00540F04">
        <w:rPr>
          <w:rFonts w:eastAsiaTheme="minorEastAsia"/>
          <w:b/>
          <w:bCs/>
          <w:lang w:eastAsia="ja-JP"/>
        </w:rPr>
        <w:t>r</w:t>
      </w:r>
      <w:r w:rsidRPr="0004088B">
        <w:rPr>
          <w:rFonts w:eastAsiaTheme="minorEastAsia"/>
          <w:b/>
          <w:bCs/>
          <w:lang w:eastAsia="ja-JP"/>
        </w:rPr>
        <w:t>emedial</w:t>
      </w:r>
      <w:r w:rsidR="003014C8" w:rsidRPr="0004088B">
        <w:rPr>
          <w:b/>
          <w:bCs/>
        </w:rPr>
        <w:t xml:space="preserve"> </w:t>
      </w:r>
      <w:r w:rsidRPr="0004088B">
        <w:rPr>
          <w:rFonts w:eastAsiaTheme="minorEastAsia"/>
          <w:b/>
          <w:bCs/>
          <w:lang w:eastAsia="ja-JP"/>
        </w:rPr>
        <w:t>actions</w:t>
      </w:r>
    </w:p>
    <w:p w14:paraId="40276DAA" w14:textId="2BE68DEA" w:rsidR="003014C8" w:rsidRPr="009F7BC3" w:rsidRDefault="00AC075C" w:rsidP="00AC075C">
      <w:pPr>
        <w:pStyle w:val="ICRPannexparagraph"/>
        <w:numPr>
          <w:ilvl w:val="0"/>
          <w:numId w:val="0"/>
        </w:numPr>
        <w:spacing w:before="240" w:after="240"/>
        <w:rPr>
          <w:i/>
          <w:iCs/>
        </w:rPr>
      </w:pPr>
      <w:r>
        <w:rPr>
          <w:i/>
          <w:iCs/>
        </w:rPr>
        <w:t xml:space="preserve">A.4.3.1. </w:t>
      </w:r>
      <w:r w:rsidR="003014C8" w:rsidRPr="009F7BC3">
        <w:rPr>
          <w:i/>
          <w:iCs/>
        </w:rPr>
        <w:t>Driving factors for remediation</w:t>
      </w:r>
    </w:p>
    <w:p w14:paraId="76A9F16C" w14:textId="281AEEFE" w:rsidR="003014C8" w:rsidRPr="004840B1" w:rsidRDefault="003014C8" w:rsidP="001F2B03">
      <w:pPr>
        <w:pStyle w:val="ICRPannexparagraph"/>
      </w:pPr>
      <w:r w:rsidRPr="004840B1">
        <w:t xml:space="preserve">Studies of radiation conditions in the Techa River basin began in July 1951. At the same time the first medical dosimetric examinations of the population of </w:t>
      </w:r>
      <w:proofErr w:type="spellStart"/>
      <w:r w:rsidRPr="004840B1">
        <w:t>Metlino</w:t>
      </w:r>
      <w:proofErr w:type="spellEnd"/>
      <w:r w:rsidRPr="004840B1">
        <w:t xml:space="preserve"> </w:t>
      </w:r>
      <w:proofErr w:type="spellStart"/>
      <w:r w:rsidRPr="004840B1">
        <w:t>neighboring</w:t>
      </w:r>
      <w:proofErr w:type="spellEnd"/>
      <w:r w:rsidRPr="004840B1">
        <w:t xml:space="preserve"> to the place of release were conducted. In the next years, these examinations were repeated and extended to the other villages. In 1953, it became clear, that the state of health of the population </w:t>
      </w:r>
      <w:r w:rsidRPr="004840B1">
        <w:lastRenderedPageBreak/>
        <w:t>is worsened, the chronic radiation sickness was detected in the part of the inhabitants. Accounting for the results of medical dosimetric examinations, the authority recommended to relocate the Techa River inhabitants living near to the place of release. Thus, in the absence of clear radiological-safety criteria during that time for the resettling justification, the medical recommendations were naturally utilised. Thus, the medical recommendations were the driving factor for initiating further remedia</w:t>
      </w:r>
      <w:r w:rsidR="00AE044C">
        <w:t>l</w:t>
      </w:r>
      <w:r w:rsidRPr="004840B1">
        <w:t xml:space="preserve"> actions.</w:t>
      </w:r>
    </w:p>
    <w:p w14:paraId="709FB5B1" w14:textId="751CD4CB" w:rsidR="003014C8" w:rsidRPr="00DF6823" w:rsidRDefault="00AC075C" w:rsidP="00AC075C">
      <w:pPr>
        <w:pStyle w:val="ICRPannexparagraph"/>
        <w:numPr>
          <w:ilvl w:val="0"/>
          <w:numId w:val="0"/>
        </w:numPr>
        <w:spacing w:before="240" w:after="240"/>
        <w:rPr>
          <w:i/>
          <w:iCs/>
        </w:rPr>
      </w:pPr>
      <w:r>
        <w:rPr>
          <w:i/>
          <w:iCs/>
        </w:rPr>
        <w:t xml:space="preserve">A.4.3.2. </w:t>
      </w:r>
      <w:r w:rsidR="003014C8" w:rsidRPr="00DF6823">
        <w:rPr>
          <w:i/>
          <w:iCs/>
        </w:rPr>
        <w:t>Non-radiological factors</w:t>
      </w:r>
    </w:p>
    <w:p w14:paraId="342FD699" w14:textId="78F5AE3C" w:rsidR="003014C8" w:rsidRPr="004840B1" w:rsidRDefault="003014C8" w:rsidP="001F2B03">
      <w:pPr>
        <w:pStyle w:val="ICRPannexparagraph"/>
      </w:pPr>
      <w:r w:rsidRPr="004840B1">
        <w:t xml:space="preserve">Non-radiological factors were not </w:t>
      </w:r>
      <w:proofErr w:type="gramStart"/>
      <w:r w:rsidRPr="004840B1">
        <w:t>taken into account</w:t>
      </w:r>
      <w:proofErr w:type="gramEnd"/>
      <w:r w:rsidRPr="004840B1">
        <w:t>.</w:t>
      </w:r>
    </w:p>
    <w:p w14:paraId="2A48814D" w14:textId="1657014F" w:rsidR="003014C8" w:rsidRPr="00DF6823" w:rsidRDefault="00AC075C" w:rsidP="00AC075C">
      <w:pPr>
        <w:pStyle w:val="ICRPannexparagraph"/>
        <w:numPr>
          <w:ilvl w:val="0"/>
          <w:numId w:val="0"/>
        </w:numPr>
        <w:spacing w:before="240" w:after="240"/>
        <w:rPr>
          <w:i/>
          <w:iCs/>
        </w:rPr>
      </w:pPr>
      <w:r>
        <w:rPr>
          <w:i/>
          <w:iCs/>
        </w:rPr>
        <w:t xml:space="preserve">A.4.3.3. </w:t>
      </w:r>
      <w:r w:rsidR="003014C8" w:rsidRPr="00DF6823">
        <w:rPr>
          <w:i/>
          <w:iCs/>
        </w:rPr>
        <w:t>Stakeholder involvement</w:t>
      </w:r>
    </w:p>
    <w:p w14:paraId="3A953905" w14:textId="3088298A" w:rsidR="003014C8" w:rsidRPr="004840B1" w:rsidRDefault="003014C8" w:rsidP="001F2B03">
      <w:pPr>
        <w:pStyle w:val="ICRPannexparagraph"/>
      </w:pPr>
      <w:r w:rsidRPr="004840B1">
        <w:t xml:space="preserve">It is important to stress that the residents living in the territories affected by radioactive exposure resulted from releases to the Techa River were neither notified about radiation conditions nor involved in the process of discussing possible counter measures to be applied. The process of elaborating of making decision regarding selection of types and forms of countermeasures was done in the 1950s without involvement of stakeholders. As well information on radiological conditions and doses to the residents was not reported by mass media until the end of the 1980s. The serious concerns of the population were not also observed until these years. In early 1990s, the recovery of the Chernobyl </w:t>
      </w:r>
      <w:r w:rsidR="004B630B">
        <w:t>nuclear power plant</w:t>
      </w:r>
      <w:r w:rsidRPr="004840B1">
        <w:t xml:space="preserve"> accident has evolved the interest to the effects of the Urals region contamination. The Law was adopted to give effect of </w:t>
      </w:r>
      <w:r w:rsidR="004B630B">
        <w:t>‘</w:t>
      </w:r>
      <w:r w:rsidRPr="004840B1">
        <w:t>Chernobyl</w:t>
      </w:r>
      <w:r w:rsidR="004B630B">
        <w:t>’</w:t>
      </w:r>
      <w:r w:rsidRPr="004840B1">
        <w:t xml:space="preserve"> Law for the Urals population. The Russian State Program was elaborated and implemented to provide justified radiation rehabilitation in Urals region up to 1995 and </w:t>
      </w:r>
      <w:proofErr w:type="gramStart"/>
      <w:r w:rsidRPr="004840B1">
        <w:t>later on</w:t>
      </w:r>
      <w:proofErr w:type="gramEnd"/>
      <w:r w:rsidRPr="004840B1">
        <w:t>. Basic goals of those programs include:</w:t>
      </w:r>
    </w:p>
    <w:p w14:paraId="09B94AB0" w14:textId="77777777" w:rsidR="003014C8" w:rsidRPr="004840B1" w:rsidRDefault="003014C8" w:rsidP="00667C97">
      <w:pPr>
        <w:pStyle w:val="afa"/>
        <w:numPr>
          <w:ilvl w:val="0"/>
          <w:numId w:val="62"/>
        </w:numPr>
        <w:tabs>
          <w:tab w:val="left" w:pos="851"/>
        </w:tabs>
        <w:spacing w:before="240"/>
        <w:ind w:left="360"/>
        <w:jc w:val="both"/>
        <w:rPr>
          <w:rFonts w:ascii="Times New Roman" w:eastAsia="ＭＳ 明朝" w:hAnsi="Times New Roman"/>
          <w:color w:val="000000" w:themeColor="text1"/>
          <w:sz w:val="24"/>
          <w:szCs w:val="24"/>
          <w:lang w:val="en-GB" w:eastAsia="ja-JP"/>
        </w:rPr>
      </w:pPr>
      <w:r w:rsidRPr="004840B1">
        <w:rPr>
          <w:rFonts w:ascii="Times New Roman" w:eastAsia="ＭＳ 明朝" w:hAnsi="Times New Roman"/>
          <w:color w:val="000000" w:themeColor="text1"/>
          <w:sz w:val="24"/>
          <w:szCs w:val="24"/>
          <w:lang w:val="en-GB" w:eastAsia="ja-JP"/>
        </w:rPr>
        <w:t xml:space="preserve">localisation of radioactive waste and prevention of radioactive contamination due to Mayak </w:t>
      </w:r>
      <w:proofErr w:type="gramStart"/>
      <w:r w:rsidRPr="004840B1">
        <w:rPr>
          <w:rFonts w:ascii="Times New Roman" w:eastAsia="ＭＳ 明朝" w:hAnsi="Times New Roman"/>
          <w:color w:val="000000" w:themeColor="text1"/>
          <w:sz w:val="24"/>
          <w:szCs w:val="24"/>
          <w:lang w:val="en-GB" w:eastAsia="ja-JP"/>
        </w:rPr>
        <w:t>operation;</w:t>
      </w:r>
      <w:proofErr w:type="gramEnd"/>
    </w:p>
    <w:p w14:paraId="2472FB8F" w14:textId="77777777" w:rsidR="003014C8" w:rsidRPr="004840B1" w:rsidRDefault="003014C8" w:rsidP="00667C97">
      <w:pPr>
        <w:pStyle w:val="afa"/>
        <w:numPr>
          <w:ilvl w:val="0"/>
          <w:numId w:val="62"/>
        </w:numPr>
        <w:tabs>
          <w:tab w:val="left" w:pos="851"/>
        </w:tabs>
        <w:ind w:left="360"/>
        <w:jc w:val="both"/>
        <w:rPr>
          <w:rFonts w:ascii="Times New Roman" w:eastAsia="ＭＳ 明朝" w:hAnsi="Times New Roman"/>
          <w:color w:val="000000" w:themeColor="text1"/>
          <w:sz w:val="24"/>
          <w:szCs w:val="24"/>
          <w:lang w:val="en-GB" w:eastAsia="ja-JP"/>
        </w:rPr>
      </w:pPr>
      <w:r w:rsidRPr="004840B1">
        <w:rPr>
          <w:rFonts w:ascii="Times New Roman" w:eastAsia="ＭＳ 明朝" w:hAnsi="Times New Roman"/>
          <w:color w:val="000000" w:themeColor="text1"/>
          <w:sz w:val="24"/>
          <w:szCs w:val="24"/>
          <w:lang w:val="en-GB" w:eastAsia="ja-JP"/>
        </w:rPr>
        <w:t xml:space="preserve">ecological rehabilitation of contaminated </w:t>
      </w:r>
      <w:proofErr w:type="gramStart"/>
      <w:r w:rsidRPr="004840B1">
        <w:rPr>
          <w:rFonts w:ascii="Times New Roman" w:eastAsia="ＭＳ 明朝" w:hAnsi="Times New Roman"/>
          <w:color w:val="000000" w:themeColor="text1"/>
          <w:sz w:val="24"/>
          <w:szCs w:val="24"/>
          <w:lang w:val="en-GB" w:eastAsia="ja-JP"/>
        </w:rPr>
        <w:t>lands;</w:t>
      </w:r>
      <w:proofErr w:type="gramEnd"/>
    </w:p>
    <w:p w14:paraId="6A296A93" w14:textId="77777777" w:rsidR="003014C8" w:rsidRPr="004840B1" w:rsidRDefault="003014C8" w:rsidP="00667C97">
      <w:pPr>
        <w:pStyle w:val="afa"/>
        <w:numPr>
          <w:ilvl w:val="0"/>
          <w:numId w:val="62"/>
        </w:numPr>
        <w:tabs>
          <w:tab w:val="left" w:pos="851"/>
        </w:tabs>
        <w:ind w:left="360"/>
        <w:jc w:val="both"/>
        <w:rPr>
          <w:rFonts w:ascii="Times New Roman" w:eastAsia="ＭＳ 明朝" w:hAnsi="Times New Roman"/>
          <w:color w:val="000000" w:themeColor="text1"/>
          <w:sz w:val="24"/>
          <w:szCs w:val="24"/>
          <w:lang w:val="en-GB" w:eastAsia="ja-JP"/>
        </w:rPr>
      </w:pPr>
      <w:r w:rsidRPr="004840B1">
        <w:rPr>
          <w:rFonts w:ascii="Times New Roman" w:eastAsia="ＭＳ 明朝" w:hAnsi="Times New Roman"/>
          <w:color w:val="000000" w:themeColor="text1"/>
          <w:sz w:val="24"/>
          <w:szCs w:val="24"/>
          <w:lang w:val="en-GB" w:eastAsia="ja-JP"/>
        </w:rPr>
        <w:t xml:space="preserve">development of monitoring system for ecological radiation </w:t>
      </w:r>
      <w:proofErr w:type="gramStart"/>
      <w:r w:rsidRPr="004840B1">
        <w:rPr>
          <w:rFonts w:ascii="Times New Roman" w:eastAsia="ＭＳ 明朝" w:hAnsi="Times New Roman"/>
          <w:color w:val="000000" w:themeColor="text1"/>
          <w:sz w:val="24"/>
          <w:szCs w:val="24"/>
          <w:lang w:val="en-GB" w:eastAsia="ja-JP"/>
        </w:rPr>
        <w:t>situation;</w:t>
      </w:r>
      <w:proofErr w:type="gramEnd"/>
    </w:p>
    <w:p w14:paraId="51EA6A22" w14:textId="3D191488" w:rsidR="003014C8" w:rsidRPr="004840B1" w:rsidRDefault="003014C8" w:rsidP="00667C97">
      <w:pPr>
        <w:pStyle w:val="afa"/>
        <w:numPr>
          <w:ilvl w:val="0"/>
          <w:numId w:val="62"/>
        </w:numPr>
        <w:tabs>
          <w:tab w:val="left" w:pos="851"/>
        </w:tabs>
        <w:ind w:left="360"/>
        <w:jc w:val="both"/>
        <w:rPr>
          <w:rFonts w:ascii="Times New Roman" w:eastAsia="ＭＳ 明朝" w:hAnsi="Times New Roman"/>
          <w:color w:val="000000" w:themeColor="text1"/>
          <w:sz w:val="24"/>
          <w:szCs w:val="24"/>
          <w:lang w:val="en-GB" w:eastAsia="ja-JP"/>
        </w:rPr>
      </w:pPr>
      <w:r w:rsidRPr="004840B1">
        <w:rPr>
          <w:rFonts w:ascii="Times New Roman" w:eastAsia="ＭＳ 明朝" w:hAnsi="Times New Roman"/>
          <w:color w:val="000000" w:themeColor="text1"/>
          <w:sz w:val="24"/>
          <w:szCs w:val="24"/>
          <w:lang w:val="en-GB" w:eastAsia="ja-JP"/>
        </w:rPr>
        <w:t>improvement of the public medical assistance;</w:t>
      </w:r>
      <w:r w:rsidR="004B630B">
        <w:rPr>
          <w:rFonts w:ascii="Times New Roman" w:eastAsia="ＭＳ 明朝" w:hAnsi="Times New Roman"/>
          <w:color w:val="000000" w:themeColor="text1"/>
          <w:sz w:val="24"/>
          <w:szCs w:val="24"/>
          <w:lang w:val="en-GB" w:eastAsia="ja-JP"/>
        </w:rPr>
        <w:t xml:space="preserve"> and</w:t>
      </w:r>
    </w:p>
    <w:p w14:paraId="14B14C7F" w14:textId="165CA9AE" w:rsidR="003014C8" w:rsidRPr="00FB5C4F" w:rsidRDefault="003014C8" w:rsidP="00667C97">
      <w:pPr>
        <w:pStyle w:val="afa"/>
        <w:numPr>
          <w:ilvl w:val="0"/>
          <w:numId w:val="62"/>
        </w:numPr>
        <w:tabs>
          <w:tab w:val="left" w:pos="851"/>
        </w:tabs>
        <w:ind w:left="360"/>
        <w:jc w:val="both"/>
        <w:rPr>
          <w:rFonts w:ascii="Times New Roman" w:eastAsia="ＭＳ 明朝" w:hAnsi="Times New Roman"/>
          <w:color w:val="000000" w:themeColor="text1"/>
          <w:sz w:val="24"/>
          <w:szCs w:val="24"/>
          <w:lang w:val="en-GB" w:eastAsia="ja-JP"/>
        </w:rPr>
      </w:pPr>
      <w:r w:rsidRPr="004840B1">
        <w:rPr>
          <w:rFonts w:ascii="Times New Roman" w:eastAsia="ＭＳ 明朝" w:hAnsi="Times New Roman"/>
          <w:color w:val="000000" w:themeColor="text1"/>
          <w:sz w:val="24"/>
          <w:szCs w:val="24"/>
          <w:lang w:val="en-GB" w:eastAsia="ja-JP"/>
        </w:rPr>
        <w:t>development of social and industrial infrastructure.</w:t>
      </w:r>
    </w:p>
    <w:p w14:paraId="70D06E77" w14:textId="18864270" w:rsidR="003014C8" w:rsidRPr="004840B1" w:rsidRDefault="00AC075C" w:rsidP="00FB5C4F">
      <w:pPr>
        <w:pStyle w:val="ICRPannexparagraph"/>
        <w:numPr>
          <w:ilvl w:val="0"/>
          <w:numId w:val="0"/>
        </w:numPr>
        <w:spacing w:before="240" w:after="240"/>
        <w:rPr>
          <w:i/>
          <w:iCs/>
        </w:rPr>
      </w:pPr>
      <w:r>
        <w:rPr>
          <w:i/>
          <w:iCs/>
        </w:rPr>
        <w:t xml:space="preserve">A.4.3.4. </w:t>
      </w:r>
      <w:r w:rsidR="003014C8" w:rsidRPr="004840B1">
        <w:rPr>
          <w:i/>
          <w:iCs/>
        </w:rPr>
        <w:t>Protection of environment</w:t>
      </w:r>
    </w:p>
    <w:p w14:paraId="0B1F68E0" w14:textId="62D25F50" w:rsidR="003014C8" w:rsidRPr="00AC075C" w:rsidRDefault="003014C8" w:rsidP="001F2B03">
      <w:pPr>
        <w:pStyle w:val="ICRPannexparagraph"/>
      </w:pPr>
      <w:r w:rsidRPr="004840B1">
        <w:t>The initial (1950</w:t>
      </w:r>
      <w:r w:rsidR="003F56A2">
        <w:t>–</w:t>
      </w:r>
      <w:r w:rsidRPr="004840B1">
        <w:t>1952) radioactive contamination of local fish species in the Techa River reached 1</w:t>
      </w:r>
      <w:r w:rsidR="003F56A2">
        <w:t>–</w:t>
      </w:r>
      <w:r w:rsidRPr="004840B1">
        <w:t>10 MBq kg</w:t>
      </w:r>
      <w:r w:rsidR="003F56A2" w:rsidRPr="00667C97">
        <w:rPr>
          <w:vertAlign w:val="superscript"/>
        </w:rPr>
        <w:t>−</w:t>
      </w:r>
      <w:r w:rsidRPr="00667C97">
        <w:rPr>
          <w:vertAlign w:val="superscript"/>
        </w:rPr>
        <w:t>1</w:t>
      </w:r>
      <w:r w:rsidRPr="004840B1">
        <w:t xml:space="preserve"> of total </w:t>
      </w:r>
      <w:r w:rsidR="003F56A2">
        <w:t>beta</w:t>
      </w:r>
      <w:r w:rsidRPr="004840B1">
        <w:t xml:space="preserve">-activity near </w:t>
      </w:r>
      <w:proofErr w:type="spellStart"/>
      <w:r w:rsidRPr="004840B1">
        <w:t>Metlino</w:t>
      </w:r>
      <w:proofErr w:type="spellEnd"/>
      <w:r w:rsidRPr="004840B1">
        <w:t xml:space="preserve"> and declined to 10 kBq kg</w:t>
      </w:r>
      <w:r w:rsidR="003F56A2" w:rsidRPr="00667C97">
        <w:rPr>
          <w:vertAlign w:val="superscript"/>
        </w:rPr>
        <w:t>−</w:t>
      </w:r>
      <w:r w:rsidRPr="00667C97">
        <w:rPr>
          <w:vertAlign w:val="superscript"/>
        </w:rPr>
        <w:t>1</w:t>
      </w:r>
      <w:r w:rsidRPr="004840B1">
        <w:t xml:space="preserve"> towards the Techa River mouth (Lemberg et al., 1951</w:t>
      </w:r>
      <w:r w:rsidR="003F56A2">
        <w:t xml:space="preserve">; </w:t>
      </w:r>
      <w:r w:rsidR="003F56A2" w:rsidRPr="004840B1">
        <w:t>Alexakhin et al., 2004</w:t>
      </w:r>
      <w:r w:rsidRPr="004840B1">
        <w:t xml:space="preserve">). The radionuclide activity concentrations as well as exposure doses to biological objects noticeably decreased with distance from the release site. The short-lived </w:t>
      </w:r>
      <w:r w:rsidRPr="00667C97">
        <w:rPr>
          <w:vertAlign w:val="superscript"/>
        </w:rPr>
        <w:t>103,106</w:t>
      </w:r>
      <w:r w:rsidRPr="004840B1">
        <w:t xml:space="preserve">Ru, </w:t>
      </w:r>
      <w:r w:rsidRPr="00667C97">
        <w:rPr>
          <w:vertAlign w:val="superscript"/>
        </w:rPr>
        <w:t>95</w:t>
      </w:r>
      <w:r w:rsidRPr="004840B1">
        <w:t xml:space="preserve">Zr, </w:t>
      </w:r>
      <w:r w:rsidRPr="00667C97">
        <w:rPr>
          <w:vertAlign w:val="superscript"/>
        </w:rPr>
        <w:t>95</w:t>
      </w:r>
      <w:r w:rsidRPr="004840B1">
        <w:t xml:space="preserve">Nb and </w:t>
      </w:r>
      <w:r w:rsidRPr="00667C97">
        <w:rPr>
          <w:vertAlign w:val="superscript"/>
        </w:rPr>
        <w:t>89</w:t>
      </w:r>
      <w:r w:rsidRPr="004840B1">
        <w:t>Sr were the main contributors to the river ecosystem exposure until Oct</w:t>
      </w:r>
      <w:r w:rsidR="00650906">
        <w:t>ober</w:t>
      </w:r>
      <w:r w:rsidRPr="004840B1">
        <w:t xml:space="preserve"> 1951 (Shishkina et al., 2019). Dose rates in fish were formed mainly due to internal exposure. Radioactive contamination of local fish reached and could reach 200 mGy day</w:t>
      </w:r>
      <w:r w:rsidR="00650906" w:rsidRPr="00667C97">
        <w:rPr>
          <w:vertAlign w:val="superscript"/>
        </w:rPr>
        <w:t>−</w:t>
      </w:r>
      <w:r w:rsidRPr="00667C97">
        <w:rPr>
          <w:vertAlign w:val="superscript"/>
        </w:rPr>
        <w:t>1</w:t>
      </w:r>
      <w:r w:rsidRPr="004840B1">
        <w:t xml:space="preserve"> and 40 mGy day</w:t>
      </w:r>
      <w:r w:rsidR="00650906" w:rsidRPr="00667C97">
        <w:rPr>
          <w:vertAlign w:val="superscript"/>
        </w:rPr>
        <w:t>−</w:t>
      </w:r>
      <w:r w:rsidRPr="00667C97">
        <w:rPr>
          <w:vertAlign w:val="superscript"/>
        </w:rPr>
        <w:t>1</w:t>
      </w:r>
      <w:r w:rsidRPr="004840B1">
        <w:t xml:space="preserve"> upstream and downstream, respectively. In subsequent years up to 1952, </w:t>
      </w:r>
      <w:r w:rsidRPr="00667C97">
        <w:rPr>
          <w:vertAlign w:val="superscript"/>
        </w:rPr>
        <w:t>144</w:t>
      </w:r>
      <w:r w:rsidRPr="004840B1">
        <w:t>Ce (T</w:t>
      </w:r>
      <w:r w:rsidRPr="00667C97">
        <w:rPr>
          <w:vertAlign w:val="subscript"/>
        </w:rPr>
        <w:t>1/2</w:t>
      </w:r>
      <w:r w:rsidR="00650906">
        <w:rPr>
          <w:vertAlign w:val="subscript"/>
        </w:rPr>
        <w:t xml:space="preserve"> </w:t>
      </w:r>
      <w:r w:rsidRPr="004840B1">
        <w:t>=</w:t>
      </w:r>
      <w:r w:rsidR="00650906">
        <w:t xml:space="preserve"> </w:t>
      </w:r>
      <w:r w:rsidRPr="004840B1">
        <w:t xml:space="preserve">285 days), </w:t>
      </w:r>
      <w:r w:rsidRPr="00667C97">
        <w:rPr>
          <w:vertAlign w:val="superscript"/>
        </w:rPr>
        <w:t>90</w:t>
      </w:r>
      <w:r w:rsidRPr="004840B1">
        <w:t xml:space="preserve">Sr and </w:t>
      </w:r>
      <w:r w:rsidRPr="00667C97">
        <w:rPr>
          <w:vertAlign w:val="superscript"/>
        </w:rPr>
        <w:t>137</w:t>
      </w:r>
      <w:r w:rsidRPr="004840B1">
        <w:t>Cs (T</w:t>
      </w:r>
      <w:r w:rsidRPr="00667C97">
        <w:rPr>
          <w:vertAlign w:val="subscript"/>
        </w:rPr>
        <w:t>1/2</w:t>
      </w:r>
      <w:r w:rsidRPr="004840B1">
        <w:t xml:space="preserve"> are about 30 years for the last two radionuclides) became the main dose-forming radionuclides. Dose rates in fish could reach 170 mGy day</w:t>
      </w:r>
      <w:r w:rsidR="00650906" w:rsidRPr="00667C97">
        <w:rPr>
          <w:vertAlign w:val="superscript"/>
        </w:rPr>
        <w:t>−</w:t>
      </w:r>
      <w:r w:rsidRPr="00667C97">
        <w:rPr>
          <w:vertAlign w:val="superscript"/>
        </w:rPr>
        <w:t>1</w:t>
      </w:r>
      <w:r w:rsidRPr="004840B1">
        <w:t xml:space="preserve"> and 30 mGy day</w:t>
      </w:r>
      <w:r w:rsidR="00650906" w:rsidRPr="00667C97">
        <w:rPr>
          <w:vertAlign w:val="superscript"/>
        </w:rPr>
        <w:t>−</w:t>
      </w:r>
      <w:r w:rsidRPr="00667C97">
        <w:rPr>
          <w:vertAlign w:val="superscript"/>
        </w:rPr>
        <w:t>1</w:t>
      </w:r>
      <w:r w:rsidRPr="004840B1">
        <w:t xml:space="preserve"> upstream and downstream, respectively. Contribution of external exposure was comparable to the internal one for the bottom fish of the upper reaches, where significant fraction of </w:t>
      </w:r>
      <w:r w:rsidRPr="00667C97">
        <w:rPr>
          <w:vertAlign w:val="superscript"/>
        </w:rPr>
        <w:t>144</w:t>
      </w:r>
      <w:r w:rsidRPr="004840B1">
        <w:t xml:space="preserve">Ce and </w:t>
      </w:r>
      <w:r w:rsidRPr="00667C97">
        <w:rPr>
          <w:vertAlign w:val="superscript"/>
        </w:rPr>
        <w:t>137</w:t>
      </w:r>
      <w:r w:rsidRPr="004840B1">
        <w:t xml:space="preserve">Cs was deposited. The presence of long-lived </w:t>
      </w:r>
      <w:r w:rsidRPr="00667C97">
        <w:rPr>
          <w:vertAlign w:val="superscript"/>
        </w:rPr>
        <w:t>90</w:t>
      </w:r>
      <w:r w:rsidRPr="004840B1">
        <w:t xml:space="preserve">Sr and </w:t>
      </w:r>
      <w:r w:rsidRPr="00667C97">
        <w:rPr>
          <w:vertAlign w:val="superscript"/>
        </w:rPr>
        <w:t>137</w:t>
      </w:r>
      <w:r w:rsidRPr="004840B1">
        <w:t xml:space="preserve">Cs in river and near-river </w:t>
      </w:r>
      <w:r w:rsidRPr="004840B1">
        <w:lastRenderedPageBreak/>
        <w:t>ecosystems had caused a long-term existence of contaminated ecosystems and long-term exposure of biological objects. The current dose rates for fish inhabiting the Techa River (3</w:t>
      </w:r>
      <w:r w:rsidR="00650906">
        <w:t>×</w:t>
      </w:r>
      <w:r w:rsidRPr="004840B1">
        <w:t>10</w:t>
      </w:r>
      <w:r w:rsidR="00650906" w:rsidRPr="00667C97">
        <w:rPr>
          <w:vertAlign w:val="superscript"/>
        </w:rPr>
        <w:t>−</w:t>
      </w:r>
      <w:r w:rsidRPr="00667C97">
        <w:rPr>
          <w:vertAlign w:val="superscript"/>
        </w:rPr>
        <w:t>6</w:t>
      </w:r>
      <w:r w:rsidRPr="004840B1">
        <w:t>–0.15 mGy day</w:t>
      </w:r>
      <w:r w:rsidRPr="00667C97">
        <w:rPr>
          <w:vertAlign w:val="superscript"/>
        </w:rPr>
        <w:t>−1</w:t>
      </w:r>
      <w:r w:rsidRPr="004840B1">
        <w:t xml:space="preserve">, depend on the distance along the stream) (Shishkina et al., 2016). Radiation doses to other aquatic organisms, such as </w:t>
      </w:r>
      <w:r w:rsidR="00346349" w:rsidRPr="004840B1">
        <w:t>molluscs</w:t>
      </w:r>
      <w:r w:rsidRPr="004840B1">
        <w:t xml:space="preserve"> and macrophytes exceeded the fish doses by a factor of 2 and 3, respectively. Radiation exposure effects on ichthyofauna in terms of growth rate was described in two studies performed in summer 1950 and 1952 (Lemberg et al., 1951</w:t>
      </w:r>
      <w:r w:rsidR="00650906">
        <w:t>;</w:t>
      </w:r>
      <w:r w:rsidRPr="004840B1">
        <w:t xml:space="preserve"> Marey et al., 1952). The first study shows the tendency to an increase in fish growth rate. The second study shows no radiation induced changes for most of fish species despite of the fact that the dose rates in the upper reaches of the river were about 70 mGy day</w:t>
      </w:r>
      <w:r w:rsidRPr="0011734B">
        <w:rPr>
          <w:vertAlign w:val="superscript"/>
        </w:rPr>
        <w:t>−1</w:t>
      </w:r>
      <w:r w:rsidRPr="004840B1">
        <w:t xml:space="preserve"> (Shishkina et al</w:t>
      </w:r>
      <w:r w:rsidR="00950DDC">
        <w:t>.</w:t>
      </w:r>
      <w:r w:rsidRPr="004840B1">
        <w:t xml:space="preserve">, 2019). Only the bottom-dwelling fish (such as </w:t>
      </w:r>
      <w:proofErr w:type="spellStart"/>
      <w:r w:rsidRPr="004840B1">
        <w:t>gudgeon</w:t>
      </w:r>
      <w:proofErr w:type="spellEnd"/>
      <w:r w:rsidRPr="004840B1">
        <w:t xml:space="preserve">) demonstrated a slight slowdown in growth rate (Marey et al., 1952) with an increase in the radionuclide activity concentrations in water and sediments. Unfortunately, there is no other information about radiation exposure effects on </w:t>
      </w:r>
      <w:r w:rsidR="00261890">
        <w:t xml:space="preserve">non-human </w:t>
      </w:r>
      <w:r w:rsidRPr="004840B1">
        <w:t xml:space="preserve">biota in the Techa River during the early 1950s. It is likely that radiobiological effects did take place in that </w:t>
      </w:r>
      <w:proofErr w:type="gramStart"/>
      <w:r w:rsidRPr="004840B1">
        <w:t>period</w:t>
      </w:r>
      <w:proofErr w:type="gramEnd"/>
      <w:r w:rsidRPr="004840B1">
        <w:t xml:space="preserve"> but they were not investigated. But nonetheless, studies on the Tec</w:t>
      </w:r>
      <w:r w:rsidR="00351405">
        <w:t>h</w:t>
      </w:r>
      <w:r w:rsidRPr="004840B1">
        <w:t>a River system in 2008</w:t>
      </w:r>
      <w:r w:rsidR="00650906">
        <w:t>–</w:t>
      </w:r>
      <w:r w:rsidRPr="004840B1">
        <w:t xml:space="preserve">2015 (after 2 half-life periods of </w:t>
      </w:r>
      <w:r w:rsidRPr="0011734B">
        <w:rPr>
          <w:vertAlign w:val="superscript"/>
        </w:rPr>
        <w:t>90</w:t>
      </w:r>
      <w:r w:rsidRPr="004840B1">
        <w:t xml:space="preserve">Sr and </w:t>
      </w:r>
      <w:r w:rsidRPr="0011734B">
        <w:rPr>
          <w:vertAlign w:val="superscript"/>
        </w:rPr>
        <w:t>137</w:t>
      </w:r>
      <w:r w:rsidRPr="004840B1">
        <w:t>Cs) discovered the radiation-induced increase in the frequency of erythrocytes with micronuclei and increase in DNA breaks using the comet-assay for bottom-dwelling roach (</w:t>
      </w:r>
      <w:proofErr w:type="spellStart"/>
      <w:r w:rsidR="007C41B6" w:rsidRPr="004840B1">
        <w:t>Pryakhin</w:t>
      </w:r>
      <w:proofErr w:type="spellEnd"/>
      <w:r w:rsidR="007C41B6" w:rsidRPr="004840B1">
        <w:t xml:space="preserve"> et al., 2012</w:t>
      </w:r>
      <w:r w:rsidR="007C41B6">
        <w:t xml:space="preserve">; </w:t>
      </w:r>
      <w:proofErr w:type="spellStart"/>
      <w:r w:rsidRPr="004840B1">
        <w:t>Styazhkina</w:t>
      </w:r>
      <w:proofErr w:type="spellEnd"/>
      <w:r w:rsidRPr="004840B1">
        <w:t xml:space="preserve"> et al</w:t>
      </w:r>
      <w:r w:rsidR="00950DDC">
        <w:t>.</w:t>
      </w:r>
      <w:r w:rsidRPr="004840B1">
        <w:t>, 2012</w:t>
      </w:r>
      <w:r w:rsidR="007C41B6">
        <w:t>, 2015</w:t>
      </w:r>
      <w:r w:rsidRPr="004840B1">
        <w:t>). They have also demonstrated that chronic exposure at a dose rate of 0.11 mGy day</w:t>
      </w:r>
      <w:r w:rsidRPr="0011734B">
        <w:rPr>
          <w:vertAlign w:val="superscript"/>
        </w:rPr>
        <w:t>−1</w:t>
      </w:r>
      <w:r w:rsidRPr="004840B1">
        <w:t xml:space="preserve"> reduces the adaptive capacity of fish, </w:t>
      </w:r>
      <w:r w:rsidR="007C41B6">
        <w:t>i.e</w:t>
      </w:r>
      <w:r w:rsidRPr="004840B1">
        <w:t>. stress led to ineffective erythropoiesis (</w:t>
      </w:r>
      <w:proofErr w:type="spellStart"/>
      <w:r w:rsidRPr="004840B1">
        <w:t>Tryapitsina</w:t>
      </w:r>
      <w:proofErr w:type="spellEnd"/>
      <w:r w:rsidRPr="004840B1">
        <w:t xml:space="preserve"> et al., 2017). In 1950</w:t>
      </w:r>
      <w:r w:rsidR="007C41B6">
        <w:t>–</w:t>
      </w:r>
      <w:r w:rsidRPr="004840B1">
        <w:t>1951, the absorbed doses to aquatic organisms in the Techa River were on average 100</w:t>
      </w:r>
      <w:r w:rsidR="007C41B6">
        <w:t>–</w:t>
      </w:r>
      <w:r w:rsidRPr="004840B1">
        <w:t>300 times higher than those to humans (Alexakhin et al., 2004). However, protection of non-human biota did not play any role in remediation process.</w:t>
      </w:r>
    </w:p>
    <w:p w14:paraId="4F070761" w14:textId="6D1BFBB0" w:rsidR="003014C8" w:rsidRPr="00AC075C" w:rsidRDefault="00AC075C" w:rsidP="00AC075C">
      <w:pPr>
        <w:pStyle w:val="ICRPannexheading3"/>
        <w:spacing w:before="240" w:after="240"/>
        <w:rPr>
          <w:rFonts w:eastAsia="ＭＳ 明朝"/>
          <w:b/>
          <w:bCs/>
        </w:rPr>
      </w:pPr>
      <w:r>
        <w:rPr>
          <w:rFonts w:eastAsia="ＭＳ 明朝" w:hint="eastAsia"/>
          <w:b/>
          <w:bCs/>
          <w:lang w:eastAsia="ja-JP"/>
        </w:rPr>
        <w:t>Selected</w:t>
      </w:r>
      <w:r w:rsidR="003014C8" w:rsidRPr="00AC075C">
        <w:rPr>
          <w:rFonts w:eastAsia="ＭＳ 明朝"/>
          <w:b/>
          <w:bCs/>
        </w:rPr>
        <w:t xml:space="preserve"> </w:t>
      </w:r>
      <w:r>
        <w:rPr>
          <w:rFonts w:eastAsia="ＭＳ 明朝"/>
          <w:b/>
          <w:bCs/>
          <w:lang w:eastAsia="ja-JP"/>
        </w:rPr>
        <w:t>r</w:t>
      </w:r>
      <w:r>
        <w:rPr>
          <w:rFonts w:eastAsia="ＭＳ 明朝" w:hint="eastAsia"/>
          <w:b/>
          <w:bCs/>
          <w:lang w:eastAsia="ja-JP"/>
        </w:rPr>
        <w:t>emedy</w:t>
      </w:r>
    </w:p>
    <w:p w14:paraId="5BB3024E" w14:textId="77777777" w:rsidR="003014C8" w:rsidRPr="004840B1" w:rsidRDefault="003014C8" w:rsidP="00667C97">
      <w:pPr>
        <w:pStyle w:val="ICRPannexparagraph"/>
        <w:spacing w:after="240"/>
      </w:pPr>
      <w:r w:rsidRPr="004840B1">
        <w:t xml:space="preserve">The basic practical measures applied since 1951 to minimise the Techa </w:t>
      </w:r>
      <w:r w:rsidRPr="0011734B">
        <w:t>River discharge</w:t>
      </w:r>
      <w:r w:rsidRPr="004840B1">
        <w:t xml:space="preserve"> effects of releases from the Techa River on exposure to the public were developed in two directions:</w:t>
      </w:r>
    </w:p>
    <w:p w14:paraId="7D6C6404" w14:textId="7B5382A8" w:rsidR="003014C8" w:rsidRPr="000A73A4" w:rsidRDefault="003014C8" w:rsidP="00667C97">
      <w:pPr>
        <w:pStyle w:val="afa"/>
        <w:numPr>
          <w:ilvl w:val="0"/>
          <w:numId w:val="68"/>
        </w:numPr>
        <w:tabs>
          <w:tab w:val="left" w:pos="851"/>
        </w:tabs>
        <w:ind w:left="360"/>
        <w:jc w:val="both"/>
        <w:rPr>
          <w:rFonts w:ascii="Times New Roman" w:eastAsia="ＭＳ 明朝" w:hAnsi="Times New Roman"/>
          <w:color w:val="000000" w:themeColor="text1"/>
          <w:sz w:val="24"/>
          <w:szCs w:val="24"/>
          <w:lang w:val="en-GB" w:eastAsia="ja-JP"/>
        </w:rPr>
      </w:pPr>
      <w:r w:rsidRPr="000A73A4">
        <w:rPr>
          <w:rFonts w:ascii="Times New Roman" w:eastAsia="ＭＳ 明朝" w:hAnsi="Times New Roman"/>
          <w:color w:val="000000" w:themeColor="text1"/>
          <w:sz w:val="24"/>
          <w:szCs w:val="24"/>
          <w:lang w:val="en-GB" w:eastAsia="ja-JP"/>
        </w:rPr>
        <w:t xml:space="preserve">improvements of technology to decrease </w:t>
      </w:r>
      <w:r w:rsidR="009A27F7">
        <w:rPr>
          <w:rFonts w:ascii="Times New Roman" w:eastAsia="ＭＳ 明朝" w:hAnsi="Times New Roman"/>
          <w:color w:val="000000" w:themeColor="text1"/>
          <w:sz w:val="24"/>
          <w:szCs w:val="24"/>
          <w:lang w:val="en-GB" w:eastAsia="ja-JP"/>
        </w:rPr>
        <w:t>releases</w:t>
      </w:r>
      <w:r w:rsidR="009A27F7" w:rsidRPr="000A73A4">
        <w:rPr>
          <w:rFonts w:ascii="Times New Roman" w:eastAsia="ＭＳ 明朝" w:hAnsi="Times New Roman"/>
          <w:color w:val="000000" w:themeColor="text1"/>
          <w:sz w:val="24"/>
          <w:szCs w:val="24"/>
          <w:lang w:val="en-GB" w:eastAsia="ja-JP"/>
        </w:rPr>
        <w:t xml:space="preserve"> </w:t>
      </w:r>
      <w:r w:rsidRPr="000A73A4">
        <w:rPr>
          <w:rFonts w:ascii="Times New Roman" w:eastAsia="ＭＳ 明朝" w:hAnsi="Times New Roman"/>
          <w:color w:val="000000" w:themeColor="text1"/>
          <w:sz w:val="24"/>
          <w:szCs w:val="24"/>
          <w:lang w:val="en-GB" w:eastAsia="ja-JP"/>
        </w:rPr>
        <w:t>into the environment;</w:t>
      </w:r>
      <w:r w:rsidR="006364A3">
        <w:rPr>
          <w:rFonts w:ascii="Times New Roman" w:eastAsia="ＭＳ 明朝" w:hAnsi="Times New Roman"/>
          <w:color w:val="000000" w:themeColor="text1"/>
          <w:sz w:val="24"/>
          <w:szCs w:val="24"/>
          <w:lang w:val="en-GB" w:eastAsia="ja-JP"/>
        </w:rPr>
        <w:t xml:space="preserve"> and</w:t>
      </w:r>
    </w:p>
    <w:p w14:paraId="4245ED0E" w14:textId="77777777" w:rsidR="003014C8" w:rsidRPr="000A73A4" w:rsidRDefault="003014C8" w:rsidP="00667C97">
      <w:pPr>
        <w:pStyle w:val="afa"/>
        <w:numPr>
          <w:ilvl w:val="0"/>
          <w:numId w:val="68"/>
        </w:numPr>
        <w:tabs>
          <w:tab w:val="left" w:pos="851"/>
        </w:tabs>
        <w:spacing w:after="240"/>
        <w:ind w:left="360"/>
        <w:jc w:val="both"/>
        <w:rPr>
          <w:rFonts w:ascii="Times New Roman" w:eastAsia="ＭＳ 明朝" w:hAnsi="Times New Roman"/>
          <w:color w:val="000000" w:themeColor="text1"/>
          <w:sz w:val="24"/>
          <w:szCs w:val="24"/>
          <w:lang w:val="en-GB" w:eastAsia="ja-JP"/>
        </w:rPr>
      </w:pPr>
      <w:r w:rsidRPr="000A73A4">
        <w:rPr>
          <w:rFonts w:ascii="Times New Roman" w:eastAsia="ＭＳ 明朝" w:hAnsi="Times New Roman"/>
          <w:color w:val="000000" w:themeColor="text1"/>
          <w:sz w:val="24"/>
          <w:szCs w:val="24"/>
          <w:lang w:val="en-GB" w:eastAsia="ja-JP"/>
        </w:rPr>
        <w:t>interventions in the resident activities to decrease or prevent further exposure to the population.</w:t>
      </w:r>
    </w:p>
    <w:p w14:paraId="0FA418D1" w14:textId="77777777" w:rsidR="003014C8" w:rsidRPr="000A73A4" w:rsidRDefault="003014C8" w:rsidP="001F2B03">
      <w:pPr>
        <w:pStyle w:val="ICRPannexparagraph"/>
      </w:pPr>
      <w:r w:rsidRPr="000A73A4">
        <w:t xml:space="preserve">By the end of 1951, the termination of </w:t>
      </w:r>
      <w:r w:rsidR="009A27F7">
        <w:t>releas</w:t>
      </w:r>
      <w:r w:rsidR="009A27F7" w:rsidRPr="000A73A4">
        <w:t xml:space="preserve">es </w:t>
      </w:r>
      <w:r w:rsidRPr="000A73A4">
        <w:t xml:space="preserve">of high-level wastes into the river allowed for considerable reduction of the specific activity of the river water. To separate the most heavily contaminated lands from the rest of the territory, dams No. 10, constructed in 1956, and No. 11, constructed in 1964, cut off the swampy upper reaches. In addition, by-pass canals were built. The hydro engineering measures allowed for significant reduction of the entry of activity into the </w:t>
      </w:r>
      <w:proofErr w:type="gramStart"/>
      <w:r w:rsidRPr="000A73A4">
        <w:t>Techa River, but</w:t>
      </w:r>
      <w:proofErr w:type="gramEnd"/>
      <w:r w:rsidRPr="000A73A4">
        <w:t xml:space="preserve"> did not completely eliminate it.</w:t>
      </w:r>
    </w:p>
    <w:p w14:paraId="2558BE87" w14:textId="049F1EBE" w:rsidR="003014C8" w:rsidRPr="000A73A4" w:rsidRDefault="003014C8" w:rsidP="001F2B03">
      <w:pPr>
        <w:pStyle w:val="ICRPannexparagraph"/>
      </w:pPr>
      <w:r w:rsidRPr="000A73A4">
        <w:t xml:space="preserve">To minimise the exposure of </w:t>
      </w:r>
      <w:proofErr w:type="gramStart"/>
      <w:r w:rsidRPr="000A73A4">
        <w:t>local residents</w:t>
      </w:r>
      <w:proofErr w:type="gramEnd"/>
      <w:r w:rsidRPr="000A73A4">
        <w:t xml:space="preserve"> to the contaminated river, a number of complex measures were taken, including resettlement of the population, establishment of a sanitary zone for residents who continued to live in the riverside villages, digging of wells, and the construction of water-supply facilities. Evacuations of residents from the most highly contaminated villages were conducted in 1954–1960. About 7500 people, i.e. 30% of the total riverside population, were moved from the Techa </w:t>
      </w:r>
      <w:proofErr w:type="gramStart"/>
      <w:r w:rsidRPr="000A73A4">
        <w:t>River banks</w:t>
      </w:r>
      <w:proofErr w:type="gramEnd"/>
      <w:r w:rsidRPr="000A73A4">
        <w:t>. However, the delay in the implementation of this measure made it rather ineffective since the residents had already received major doses from both internal and external exposure by the time of evacuations.</w:t>
      </w:r>
    </w:p>
    <w:p w14:paraId="58920826" w14:textId="676B0349" w:rsidR="003014C8" w:rsidRPr="000A73A4" w:rsidRDefault="003014C8" w:rsidP="001F2B03">
      <w:pPr>
        <w:pStyle w:val="ICRPannexparagraph"/>
      </w:pPr>
      <w:r w:rsidRPr="000A73A4">
        <w:lastRenderedPageBreak/>
        <w:t xml:space="preserve">However, all applied countermeasures were realised too late to prevent public exposure from the initial intensive </w:t>
      </w:r>
      <w:r w:rsidR="00FD20A3">
        <w:t>releas</w:t>
      </w:r>
      <w:r w:rsidR="00FD20A3" w:rsidRPr="000A73A4">
        <w:t>e</w:t>
      </w:r>
      <w:r w:rsidRPr="000A73A4">
        <w:t>. The 1950</w:t>
      </w:r>
      <w:r w:rsidR="00C15AB9">
        <w:t>–</w:t>
      </w:r>
      <w:r w:rsidRPr="000A73A4">
        <w:t xml:space="preserve">1951 </w:t>
      </w:r>
      <w:r w:rsidR="00FD20A3">
        <w:t>radioactive release</w:t>
      </w:r>
      <w:r w:rsidR="00FD20A3" w:rsidRPr="000A73A4">
        <w:t xml:space="preserve">s </w:t>
      </w:r>
      <w:r w:rsidRPr="000A73A4">
        <w:t xml:space="preserve">have practically resulted in the whole activity accumulated in the river system, though it was significantly decreased to the present time due to the radionuclide decay and natural decontamination, as well as they provided </w:t>
      </w:r>
      <w:r w:rsidR="00BE14F0">
        <w:t>more than</w:t>
      </w:r>
      <w:r w:rsidRPr="000A73A4">
        <w:t xml:space="preserve"> 90% exposure doses to local inhabitants within the whole period and including resettled residents. During two years of the Mayak operation, the radioactive </w:t>
      </w:r>
      <w:r w:rsidR="003A3E4A">
        <w:t>releases</w:t>
      </w:r>
      <w:r w:rsidR="003A3E4A" w:rsidRPr="000A73A4">
        <w:t xml:space="preserve"> </w:t>
      </w:r>
      <w:r w:rsidRPr="000A73A4">
        <w:t>have caused all the consequent problems.</w:t>
      </w:r>
    </w:p>
    <w:p w14:paraId="754F821A" w14:textId="477E6277" w:rsidR="003014C8" w:rsidRPr="000A73A4" w:rsidRDefault="003014C8" w:rsidP="001F2B03">
      <w:pPr>
        <w:pStyle w:val="ICRPannexparagraph"/>
      </w:pPr>
      <w:r w:rsidRPr="000A73A4">
        <w:t xml:space="preserve">It is important to stress that the long-term suppression of official information on the radioactive contamination of the river also contributed to violations of the health-protection regulations by the public. It should be noted that lack of information was </w:t>
      </w:r>
      <w:r w:rsidR="00346349" w:rsidRPr="000A73A4">
        <w:t>unfavourably</w:t>
      </w:r>
      <w:r w:rsidRPr="000A73A4">
        <w:t xml:space="preserve"> affecting the population’s trust in local and federal authorities and the decisions they made. The restriction on the use of river water and especially the resettlements of the population caused changes in the habitual way of life and production activity patterns and brought about a persistent psychological distress.</w:t>
      </w:r>
    </w:p>
    <w:p w14:paraId="3DC7FF66" w14:textId="71389B91" w:rsidR="003014C8" w:rsidRPr="00AC075C" w:rsidRDefault="003014C8" w:rsidP="001F2B03">
      <w:pPr>
        <w:pStyle w:val="ICRPannexparagraph"/>
      </w:pPr>
      <w:r w:rsidRPr="000A73A4">
        <w:t>The economic consequences of radioactive contamination of the Techa River for agriculture are undoubtedly determined by a necessary intervention of persons in the society life responsible to restrict irradiation of the local population, including: 1) imposing ban on the economic use of natural resources within the flood plain agricultural lands; and 2) liquidation of settlements and there located farms, evacuation of people from the riverside area.</w:t>
      </w:r>
    </w:p>
    <w:p w14:paraId="3C9DBCD4" w14:textId="1498337E" w:rsidR="003014C8" w:rsidRPr="00AC075C" w:rsidRDefault="00AC075C" w:rsidP="00AC075C">
      <w:pPr>
        <w:pStyle w:val="ICRPannexheading3"/>
        <w:spacing w:before="240" w:after="240"/>
        <w:rPr>
          <w:rFonts w:eastAsia="ＭＳ 明朝"/>
          <w:b/>
          <w:bCs/>
        </w:rPr>
      </w:pPr>
      <w:r>
        <w:rPr>
          <w:rFonts w:eastAsia="ＭＳ 明朝" w:hint="eastAsia"/>
          <w:b/>
          <w:bCs/>
          <w:lang w:val="en-US" w:eastAsia="ja-JP"/>
        </w:rPr>
        <w:t>Present</w:t>
      </w:r>
      <w:r w:rsidR="003014C8" w:rsidRPr="00AC075C">
        <w:rPr>
          <w:rFonts w:eastAsia="ＭＳ 明朝"/>
          <w:b/>
          <w:bCs/>
        </w:rPr>
        <w:t xml:space="preserve"> </w:t>
      </w:r>
      <w:r>
        <w:rPr>
          <w:rFonts w:eastAsia="ＭＳ 明朝"/>
          <w:b/>
          <w:bCs/>
          <w:lang w:eastAsia="ja-JP"/>
        </w:rPr>
        <w:t>c</w:t>
      </w:r>
      <w:r>
        <w:rPr>
          <w:rFonts w:eastAsia="ＭＳ 明朝" w:hint="eastAsia"/>
          <w:b/>
          <w:bCs/>
          <w:lang w:eastAsia="ja-JP"/>
        </w:rPr>
        <w:t>onditions</w:t>
      </w:r>
    </w:p>
    <w:p w14:paraId="0A61E384" w14:textId="77777777" w:rsidR="003014C8" w:rsidRPr="000A73A4" w:rsidRDefault="003014C8" w:rsidP="001F2B03">
      <w:pPr>
        <w:pStyle w:val="ICRPannexparagraph"/>
      </w:pPr>
      <w:r w:rsidRPr="000A73A4">
        <w:t xml:space="preserve">It is worth noting that so far powerful sources of secondary radioactive contamination determined radiation conditions on the Techa River. The principal sources of contamination are the cascade of water reservoirs, the by-pass canals, the swamps, and the flood plains in the upper reaches of the Techa River. </w:t>
      </w:r>
      <w:proofErr w:type="gramStart"/>
      <w:r w:rsidRPr="000A73A4">
        <w:t>In spite of</w:t>
      </w:r>
      <w:proofErr w:type="gramEnd"/>
      <w:r w:rsidRPr="000A73A4">
        <w:t xml:space="preserve"> the essential restrictive measures, the population is still using parts of contaminated flood plains for agricultural production. The main foodstuff that contributes to </w:t>
      </w:r>
      <w:r w:rsidRPr="00667C97">
        <w:rPr>
          <w:vertAlign w:val="superscript"/>
        </w:rPr>
        <w:t>90</w:t>
      </w:r>
      <w:r w:rsidRPr="000A73A4">
        <w:t xml:space="preserve">Sr and </w:t>
      </w:r>
      <w:r w:rsidRPr="00667C97">
        <w:rPr>
          <w:vertAlign w:val="superscript"/>
        </w:rPr>
        <w:t>137</w:t>
      </w:r>
      <w:r w:rsidRPr="000A73A4">
        <w:t>Cs body intakes for residents of riverside villages is milk produced on private farms.</w:t>
      </w:r>
    </w:p>
    <w:p w14:paraId="6861F1E7" w14:textId="5E4911E7" w:rsidR="003014C8" w:rsidRPr="000A73A4" w:rsidRDefault="003014C8" w:rsidP="001F2B03">
      <w:pPr>
        <w:pStyle w:val="ICRPannexparagraph"/>
      </w:pPr>
      <w:r w:rsidRPr="000A73A4">
        <w:t xml:space="preserve">Until the beginning of the 2000s, </w:t>
      </w:r>
      <w:proofErr w:type="spellStart"/>
      <w:r w:rsidRPr="000A73A4">
        <w:t>Muslyumovo</w:t>
      </w:r>
      <w:proofErr w:type="spellEnd"/>
      <w:r w:rsidRPr="000A73A4">
        <w:t xml:space="preserve"> was the Techa riverside non-evacuated settlement closest to the Mayak with highest levels of environmental contamination. The average annual effective dose in </w:t>
      </w:r>
      <w:proofErr w:type="spellStart"/>
      <w:r w:rsidRPr="000A73A4">
        <w:t>Muslyumovo</w:t>
      </w:r>
      <w:proofErr w:type="spellEnd"/>
      <w:r w:rsidRPr="000A73A4">
        <w:t xml:space="preserve"> in the 1990s was by a factor of five below 1 mSv. The doses were kept low because of major restrictions including 1) prohibition of fishing in the Techa River and consumption of river water; </w:t>
      </w:r>
      <w:r w:rsidR="00C15AB9">
        <w:t xml:space="preserve">and </w:t>
      </w:r>
      <w:r w:rsidRPr="000A73A4">
        <w:t>2) prohibition of the use of flood plains for pasturing meat and dairy cattle. However, a large hypothetical intake of contaminated foodstuffs may increase the total effective dose of the critical group to more than 1 mSv (</w:t>
      </w:r>
      <w:proofErr w:type="spellStart"/>
      <w:r w:rsidRPr="000A73A4">
        <w:t>Balonov</w:t>
      </w:r>
      <w:proofErr w:type="spellEnd"/>
      <w:r w:rsidRPr="000A73A4">
        <w:t xml:space="preserve"> et al., 2007). In 2006, a decision on relocation of </w:t>
      </w:r>
      <w:proofErr w:type="spellStart"/>
      <w:r w:rsidRPr="000A73A4">
        <w:t>Muslyumovo</w:t>
      </w:r>
      <w:proofErr w:type="spellEnd"/>
      <w:r w:rsidRPr="000A73A4">
        <w:t xml:space="preserve"> residents was made jointly by Rosatom State Corporation and the Government of the Chelyabinsk Region. The relocation was completed in 2012.</w:t>
      </w:r>
    </w:p>
    <w:p w14:paraId="1CDC3602" w14:textId="6E7CD593" w:rsidR="003014C8" w:rsidRPr="00445A96" w:rsidRDefault="003014C8" w:rsidP="001F2B03">
      <w:pPr>
        <w:pStyle w:val="ICRPannexparagraph"/>
      </w:pPr>
      <w:r w:rsidRPr="000A73A4">
        <w:t>At present, an epidemiological study is underway on a cohort of about 30,000 Techa River residents. As part of this study, individual doses from external and internal exposure were reconstructed for each member of the cohort. According to the deterministic version of the dosimetric system TRDS-2016D, the average individual dose to the red bone marrow for members of this cohort was 0.35 Gy, and the maximum value was 7.9 Gy (Degteva et al., 2019).</w:t>
      </w:r>
    </w:p>
    <w:p w14:paraId="4710B654" w14:textId="35758689" w:rsidR="003014C8" w:rsidRPr="00445A96" w:rsidRDefault="00445A96" w:rsidP="00445A96">
      <w:pPr>
        <w:pStyle w:val="ICRPannexheading3"/>
        <w:spacing w:before="240" w:after="240"/>
        <w:rPr>
          <w:rFonts w:eastAsia="ＭＳ 明朝"/>
          <w:b/>
          <w:bCs/>
        </w:rPr>
      </w:pPr>
      <w:r w:rsidRPr="00445A96">
        <w:rPr>
          <w:rFonts w:eastAsia="ＭＳ 明朝" w:hint="eastAsia"/>
          <w:b/>
          <w:bCs/>
          <w:lang w:eastAsia="ja-JP"/>
        </w:rPr>
        <w:t>Summary</w:t>
      </w:r>
    </w:p>
    <w:p w14:paraId="280A587F" w14:textId="5D61E3FC" w:rsidR="003014C8" w:rsidRPr="00B31F94" w:rsidRDefault="003014C8" w:rsidP="00B31F94">
      <w:pPr>
        <w:pStyle w:val="ICRPannexparagraph"/>
      </w:pPr>
      <w:r w:rsidRPr="000A73A4">
        <w:t xml:space="preserve">One of the reasons for a heavy radiation situation occurred on the Techa River in the early period of the nuclear industry development in the USSR was a lack of legitimated sanitary </w:t>
      </w:r>
      <w:r w:rsidRPr="000A73A4">
        <w:lastRenderedPageBreak/>
        <w:t xml:space="preserve">and ecological regulations for permissible levels for </w:t>
      </w:r>
      <w:r w:rsidRPr="0011734B">
        <w:t>discharg</w:t>
      </w:r>
      <w:r w:rsidRPr="000A73A4">
        <w:t>es of radioactive material to the environment. An unrestrained race of plutonium production, strict confidentiality regime, non-involvement of stakeholders, lack of radioecological knowledge and insufficient radiation control of the environment in the vicinity of Mayak caused a delay in understanding of the problems and delay in making governmental decisions aimed at reducing waste disposals and limiting exposure of the population.</w:t>
      </w:r>
    </w:p>
    <w:p w14:paraId="6F85BAB5" w14:textId="675DDB34" w:rsidR="002013D8" w:rsidRPr="001F2B03" w:rsidRDefault="009536EE" w:rsidP="001E6B14">
      <w:pPr>
        <w:pStyle w:val="ICRPannexheading2"/>
        <w:ind w:left="576"/>
      </w:pPr>
      <w:bookmarkStart w:id="119" w:name="_Toc166586825"/>
      <w:r w:rsidRPr="00AF2A12">
        <w:t xml:space="preserve">Radium </w:t>
      </w:r>
      <w:r w:rsidR="001F2B03">
        <w:t>c</w:t>
      </w:r>
      <w:r w:rsidRPr="00AF2A12">
        <w:t>ontamination at Dalgety Bay, Scotland</w:t>
      </w:r>
      <w:bookmarkEnd w:id="119"/>
    </w:p>
    <w:p w14:paraId="785896AE" w14:textId="3A04A784" w:rsidR="002013D8" w:rsidRPr="001F2B03" w:rsidRDefault="001F2B03" w:rsidP="001F2B03">
      <w:pPr>
        <w:pStyle w:val="ICRPannexheading3"/>
        <w:spacing w:before="240" w:after="240"/>
        <w:rPr>
          <w:b/>
          <w:bCs/>
        </w:rPr>
      </w:pPr>
      <w:r w:rsidRPr="001F2B03">
        <w:rPr>
          <w:rFonts w:eastAsiaTheme="minorEastAsia"/>
          <w:b/>
          <w:bCs/>
          <w:lang w:eastAsia="ja-JP"/>
        </w:rPr>
        <w:t>Background</w:t>
      </w:r>
    </w:p>
    <w:p w14:paraId="799984D2" w14:textId="6F7ABC94" w:rsidR="009536EE" w:rsidRPr="00AF2A12" w:rsidRDefault="009536EE" w:rsidP="008B3A78">
      <w:pPr>
        <w:pStyle w:val="ICRPannexparagraph"/>
        <w:rPr>
          <w:szCs w:val="24"/>
        </w:rPr>
      </w:pPr>
      <w:r w:rsidRPr="00AF2A12">
        <w:t>Dalgety Bay is an area located on the north bank of the Firth of Forth estuary in Scotland. It comprises an estuarine bay and the adjacent land stretching along approximately 1</w:t>
      </w:r>
      <w:r w:rsidR="004851B2">
        <w:t xml:space="preserve"> </w:t>
      </w:r>
      <w:r w:rsidRPr="00AF2A12">
        <w:t xml:space="preserve">km of coastline, </w:t>
      </w:r>
      <w:r w:rsidRPr="00AF2A12">
        <w:rPr>
          <w:szCs w:val="24"/>
        </w:rPr>
        <w:t xml:space="preserve">which was used by the UK Ministry of Defence as an airfield and aircraft servicing base between 1917 and 1959. During this time, radium was commonly used in paint to </w:t>
      </w:r>
      <w:proofErr w:type="spellStart"/>
      <w:r w:rsidRPr="00AF2A12">
        <w:rPr>
          <w:szCs w:val="24"/>
        </w:rPr>
        <w:t>luminise</w:t>
      </w:r>
      <w:proofErr w:type="spellEnd"/>
      <w:r w:rsidRPr="00AF2A12">
        <w:rPr>
          <w:szCs w:val="24"/>
        </w:rPr>
        <w:t xml:space="preserve"> aircraft components, such as dials and switches, allowing them to be visible in the dark. Activities at the airfield are known to have included the </w:t>
      </w:r>
      <w:proofErr w:type="spellStart"/>
      <w:r w:rsidRPr="00AF2A12">
        <w:rPr>
          <w:szCs w:val="24"/>
        </w:rPr>
        <w:t>luminising</w:t>
      </w:r>
      <w:proofErr w:type="spellEnd"/>
      <w:r w:rsidRPr="00AF2A12">
        <w:rPr>
          <w:szCs w:val="24"/>
        </w:rPr>
        <w:t xml:space="preserve"> and servicing of aircraft components using paint containing radium, as well as the incineration and disposal of solid wastes from the dismantling of retired aircraft. Today, the land is host to Dalgety Bay town of approximately 10,000 people, with various public amenities along the coastline. </w:t>
      </w:r>
      <w:r w:rsidRPr="00AF2A12">
        <w:t>Radium contamination, in the form of discrete particles, was first discovered on the beach at Dalgety Bay in 1990</w:t>
      </w:r>
      <w:r w:rsidRPr="00AF2A12">
        <w:rPr>
          <w:szCs w:val="24"/>
        </w:rPr>
        <w:t xml:space="preserve">, resulting in </w:t>
      </w:r>
      <w:r w:rsidRPr="00AF2A12">
        <w:t>episodic monitoring and assessment of the site until 2011, when the detection of particles in greater numbers and of higher activities prompted more detailed investigation.</w:t>
      </w:r>
    </w:p>
    <w:p w14:paraId="118976FC" w14:textId="4435ADBD" w:rsidR="009536EE" w:rsidRPr="00AF2A12" w:rsidRDefault="009536EE" w:rsidP="00667C97">
      <w:pPr>
        <w:pStyle w:val="ICRPannexparagraph"/>
        <w:spacing w:after="240"/>
      </w:pPr>
      <w:r w:rsidRPr="00AF2A12">
        <w:t>The Scottish Environment Protection Agency (SEPA) is responsible for the identification, characterisation, and regulation of remediation of land affected by radioactive contamination in Scotland. Scottish Government Statutory Guidance to SEPA states for land to be considered as radioactively contaminated land (RCL) where exposures are not certain to occur (i.e. heterogeneous contamination, such as discrete particles), exposures must meet the following criteria</w:t>
      </w:r>
      <w:r w:rsidR="004851B2">
        <w:t>.</w:t>
      </w:r>
    </w:p>
    <w:p w14:paraId="61A65D6A" w14:textId="35A1E148" w:rsidR="009536EE" w:rsidRPr="00AF2A12" w:rsidRDefault="009536EE" w:rsidP="00667C97">
      <w:pPr>
        <w:pStyle w:val="Annalstext"/>
        <w:numPr>
          <w:ilvl w:val="0"/>
          <w:numId w:val="69"/>
        </w:numPr>
        <w:ind w:left="360"/>
        <w:rPr>
          <w:color w:val="000000" w:themeColor="text1"/>
          <w:szCs w:val="24"/>
        </w:rPr>
      </w:pPr>
      <w:r w:rsidRPr="00AF2A12">
        <w:rPr>
          <w:color w:val="000000" w:themeColor="text1"/>
          <w:szCs w:val="24"/>
        </w:rPr>
        <w:t xml:space="preserve">A potential effective dose greater than 100 mSv or contact with the contamination would result in a dose rate to the skin greater than 10 </w:t>
      </w:r>
      <w:r w:rsidRPr="00AF2A12">
        <w:rPr>
          <w:color w:val="000000" w:themeColor="text1"/>
        </w:rPr>
        <w:t>Gy h</w:t>
      </w:r>
      <w:r w:rsidR="00A22EC6">
        <w:rPr>
          <w:color w:val="000000" w:themeColor="text1"/>
          <w:vertAlign w:val="superscript"/>
        </w:rPr>
        <w:t>−</w:t>
      </w:r>
      <w:r w:rsidRPr="00AF2A12">
        <w:rPr>
          <w:color w:val="000000" w:themeColor="text1"/>
          <w:vertAlign w:val="superscript"/>
        </w:rPr>
        <w:t>1</w:t>
      </w:r>
      <w:r w:rsidRPr="00AF2A12">
        <w:rPr>
          <w:color w:val="000000" w:themeColor="text1"/>
        </w:rPr>
        <w:t>, irrespective of the probability of the dose being received. If these criteria are not met</w:t>
      </w:r>
      <w:r w:rsidR="004851B2">
        <w:rPr>
          <w:color w:val="000000" w:themeColor="text1"/>
        </w:rPr>
        <w:t>.</w:t>
      </w:r>
    </w:p>
    <w:p w14:paraId="465A8A5E" w14:textId="77777777" w:rsidR="009536EE" w:rsidRPr="00AF2A12" w:rsidRDefault="009536EE" w:rsidP="00667C97">
      <w:pPr>
        <w:pStyle w:val="Annalstext"/>
        <w:numPr>
          <w:ilvl w:val="0"/>
          <w:numId w:val="69"/>
        </w:numPr>
        <w:spacing w:after="240"/>
        <w:ind w:left="360"/>
        <w:rPr>
          <w:color w:val="000000" w:themeColor="text1"/>
          <w:szCs w:val="24"/>
        </w:rPr>
      </w:pPr>
      <w:r w:rsidRPr="00AF2A12">
        <w:rPr>
          <w:color w:val="000000" w:themeColor="text1"/>
        </w:rPr>
        <w:t>A potential effective dose greater than 3 mSv, or a potential equivalent dose to the lens of the eye greater than 15 mSv, or a potential equivalent dose to the skin greater than 50 mSv, considering the probability of the dose being received.</w:t>
      </w:r>
    </w:p>
    <w:p w14:paraId="1A7B1057" w14:textId="4628CD7C" w:rsidR="009536EE" w:rsidRPr="00AF2A12" w:rsidRDefault="009536EE" w:rsidP="008B3A78">
      <w:pPr>
        <w:pStyle w:val="ICRPannexparagraph"/>
        <w:rPr>
          <w:szCs w:val="24"/>
        </w:rPr>
      </w:pPr>
      <w:r w:rsidRPr="00AF2A12">
        <w:t>SEPA has the responsibility to carry out an appropriate scientific and technical assessment of land affected by radioactive contamination to determine if it meets the RCL criteria. For exposures</w:t>
      </w:r>
      <w:r w:rsidR="0003565A" w:rsidRPr="0003565A">
        <w:t xml:space="preserve"> </w:t>
      </w:r>
      <w:r w:rsidR="0003565A">
        <w:t>not certain to occur</w:t>
      </w:r>
      <w:r w:rsidRPr="00AF2A12">
        <w:t>, if either of the above criteria are met, SEPA has the additional responsibility for identifying and notifying those who are to bear responsibility for the remediation, termed the Appropriate Person(s).</w:t>
      </w:r>
    </w:p>
    <w:p w14:paraId="5F735BEC" w14:textId="7D16E6DB" w:rsidR="00D840AD" w:rsidRPr="0004088B" w:rsidRDefault="009536EE" w:rsidP="008B3A78">
      <w:pPr>
        <w:pStyle w:val="ICRPannexparagraph"/>
        <w:rPr>
          <w:szCs w:val="24"/>
        </w:rPr>
      </w:pPr>
      <w:r w:rsidRPr="00AF2A12">
        <w:t xml:space="preserve">The aim of this case study is to provide an example of an approach taken to address an existing exposure situation involving </w:t>
      </w:r>
      <w:r w:rsidR="00160413" w:rsidRPr="000D6EC5">
        <w:t xml:space="preserve">public exposures </w:t>
      </w:r>
      <w:r w:rsidR="00160413">
        <w:t xml:space="preserve">not certain to occur </w:t>
      </w:r>
      <w:r w:rsidRPr="00AF2A12">
        <w:t>due to contamination from a past practice. This case study describes the more detailed investigation initiated by SEPA in 2011, which involved a s</w:t>
      </w:r>
      <w:r w:rsidRPr="00AF2A12">
        <w:rPr>
          <w:szCs w:val="24"/>
        </w:rPr>
        <w:t xml:space="preserve">ignificant programme of work to characterise </w:t>
      </w:r>
      <w:r w:rsidRPr="00AF2A12">
        <w:rPr>
          <w:szCs w:val="24"/>
        </w:rPr>
        <w:lastRenderedPageBreak/>
        <w:t xml:space="preserve">the site, assess the potential public exposures against the RCL criteria, identify the appropriate person(s), and instigate a remediation plan </w:t>
      </w:r>
      <w:r w:rsidR="001C56EF" w:rsidRPr="00AF2A12">
        <w:rPr>
          <w:szCs w:val="24"/>
        </w:rPr>
        <w:t>to</w:t>
      </w:r>
      <w:r w:rsidRPr="00AF2A12">
        <w:rPr>
          <w:szCs w:val="24"/>
        </w:rPr>
        <w:t xml:space="preserve"> deliver a sustainable solution for Dalgety Bay.</w:t>
      </w:r>
    </w:p>
    <w:p w14:paraId="679A5927" w14:textId="3F554205" w:rsidR="00D840AD" w:rsidRPr="0004088B" w:rsidRDefault="0004088B" w:rsidP="0004088B">
      <w:pPr>
        <w:pStyle w:val="ICRPannexheading3"/>
        <w:spacing w:before="240" w:after="240"/>
        <w:rPr>
          <w:b/>
          <w:bCs/>
        </w:rPr>
      </w:pPr>
      <w:r w:rsidRPr="0004088B">
        <w:rPr>
          <w:rFonts w:eastAsiaTheme="minorEastAsia"/>
          <w:b/>
          <w:bCs/>
          <w:lang w:eastAsia="ja-JP"/>
        </w:rPr>
        <w:t>Exposure</w:t>
      </w:r>
      <w:r w:rsidR="00D840AD" w:rsidRPr="0004088B">
        <w:rPr>
          <w:b/>
          <w:bCs/>
        </w:rPr>
        <w:t xml:space="preserve"> </w:t>
      </w:r>
      <w:r w:rsidRPr="0004088B">
        <w:rPr>
          <w:rFonts w:eastAsiaTheme="minorEastAsia"/>
          <w:b/>
          <w:bCs/>
          <w:lang w:eastAsia="ja-JP"/>
        </w:rPr>
        <w:t>pathways</w:t>
      </w:r>
      <w:r w:rsidR="00D840AD" w:rsidRPr="0004088B">
        <w:rPr>
          <w:b/>
          <w:bCs/>
        </w:rPr>
        <w:t xml:space="preserve"> </w:t>
      </w:r>
      <w:r w:rsidRPr="0004088B">
        <w:rPr>
          <w:rFonts w:eastAsiaTheme="minorEastAsia"/>
          <w:b/>
          <w:bCs/>
          <w:lang w:eastAsia="ja-JP"/>
        </w:rPr>
        <w:t>of</w:t>
      </w:r>
      <w:r w:rsidR="00D840AD" w:rsidRPr="0004088B">
        <w:rPr>
          <w:b/>
          <w:bCs/>
        </w:rPr>
        <w:t xml:space="preserve"> </w:t>
      </w:r>
      <w:r w:rsidRPr="0004088B">
        <w:rPr>
          <w:rFonts w:eastAsiaTheme="minorEastAsia"/>
          <w:b/>
          <w:bCs/>
          <w:lang w:eastAsia="ja-JP"/>
        </w:rPr>
        <w:t>concern</w:t>
      </w:r>
    </w:p>
    <w:p w14:paraId="275B2701" w14:textId="20BC010E" w:rsidR="009536EE" w:rsidRPr="00AF2A12" w:rsidRDefault="009536EE" w:rsidP="008B3A78">
      <w:pPr>
        <w:pStyle w:val="ICRPannexparagraph"/>
        <w:rPr>
          <w:szCs w:val="24"/>
        </w:rPr>
      </w:pPr>
      <w:r w:rsidRPr="00AF2A12">
        <w:t xml:space="preserve">Radiological monitoring and particle recovery </w:t>
      </w:r>
      <w:r w:rsidR="00276F31">
        <w:t>was</w:t>
      </w:r>
      <w:r w:rsidRPr="00AF2A12">
        <w:t xml:space="preserve"> undertaken to estimate particle numbers, activities, and distribution within the environment. </w:t>
      </w:r>
      <w:r w:rsidR="004450EF">
        <w:t>Several</w:t>
      </w:r>
      <w:r w:rsidRPr="00AF2A12">
        <w:t xml:space="preserve"> thousand particles </w:t>
      </w:r>
      <w:r w:rsidR="004450EF">
        <w:t>were</w:t>
      </w:r>
      <w:r w:rsidRPr="00AF2A12">
        <w:t xml:space="preserve"> removed from the beach</w:t>
      </w:r>
      <w:r w:rsidRPr="00AF2A12">
        <w:rPr>
          <w:szCs w:val="24"/>
        </w:rPr>
        <w:t xml:space="preserve"> that contain</w:t>
      </w:r>
      <w:r w:rsidR="00C34021">
        <w:rPr>
          <w:szCs w:val="24"/>
        </w:rPr>
        <w:t>ed</w:t>
      </w:r>
      <w:r w:rsidRPr="00AF2A12">
        <w:rPr>
          <w:szCs w:val="24"/>
        </w:rPr>
        <w:t xml:space="preserve"> </w:t>
      </w:r>
      <w:r w:rsidR="00A22EC6" w:rsidRPr="00667C97">
        <w:rPr>
          <w:szCs w:val="24"/>
          <w:vertAlign w:val="superscript"/>
        </w:rPr>
        <w:t>226</w:t>
      </w:r>
      <w:r w:rsidRPr="00AF2A12">
        <w:rPr>
          <w:szCs w:val="24"/>
        </w:rPr>
        <w:t>Ra and its daughter radionuclides, with activities ranging from ~1 kBq to ~76 MBq.</w:t>
      </w:r>
      <w:r w:rsidRPr="00AF2A12">
        <w:t xml:space="preserve"> Physical attributes </w:t>
      </w:r>
      <w:r w:rsidR="00C34021">
        <w:t>were</w:t>
      </w:r>
      <w:r w:rsidR="00C34021" w:rsidRPr="00AF2A12">
        <w:t xml:space="preserve"> </w:t>
      </w:r>
      <w:r w:rsidRPr="00AF2A12">
        <w:t xml:space="preserve">also wide ranging, with some </w:t>
      </w:r>
      <w:r w:rsidRPr="00AF2A12">
        <w:rPr>
          <w:szCs w:val="24"/>
        </w:rPr>
        <w:t xml:space="preserve">similar in size to a grain of sand up to relatively large lumps of a few centimetres in diameter or more, as well as identifiable aircraft components. The population of particles </w:t>
      </w:r>
      <w:r w:rsidR="00C34021">
        <w:rPr>
          <w:szCs w:val="24"/>
        </w:rPr>
        <w:t>was</w:t>
      </w:r>
      <w:r w:rsidR="00C34021" w:rsidRPr="00AF2A12">
        <w:rPr>
          <w:szCs w:val="24"/>
        </w:rPr>
        <w:t xml:space="preserve"> </w:t>
      </w:r>
      <w:r w:rsidRPr="00AF2A12">
        <w:rPr>
          <w:szCs w:val="24"/>
        </w:rPr>
        <w:t>heterogeneously distributed with some detected on the surface of the beach, and others at varying depths in the sediment (</w:t>
      </w:r>
      <w:r w:rsidR="00251FE0">
        <w:rPr>
          <w:szCs w:val="24"/>
        </w:rPr>
        <w:t>Dale, 2013</w:t>
      </w:r>
      <w:r w:rsidRPr="00AF2A12">
        <w:rPr>
          <w:szCs w:val="24"/>
        </w:rPr>
        <w:t>).</w:t>
      </w:r>
    </w:p>
    <w:p w14:paraId="6EF4122C" w14:textId="665EFF80" w:rsidR="009536EE" w:rsidRPr="00AF2A12" w:rsidRDefault="009536EE" w:rsidP="008B3A78">
      <w:pPr>
        <w:pStyle w:val="ICRPannexparagraph"/>
      </w:pPr>
      <w:r w:rsidRPr="00AF2A12">
        <w:t xml:space="preserve">A survey of the habits of members of the public was commissioned to identify the potential exposure pathways and assist in determining the probability of exposure. Interviews with members of the public and the recording of observations provided data on the activities being undertaken in the area, where they were taking place, and for what length of time. Activities were recorded on the coastline and on the beach, with the main activities being walking, dog walking, sailing, cycling, and bird watching </w:t>
      </w:r>
      <w:r w:rsidRPr="00251FE0">
        <w:t>(</w:t>
      </w:r>
      <w:r w:rsidR="00251FE0">
        <w:t>Clyne, 2013</w:t>
      </w:r>
      <w:r w:rsidRPr="00AF2A12">
        <w:t>).</w:t>
      </w:r>
    </w:p>
    <w:p w14:paraId="246A26C2" w14:textId="17FFEE5C" w:rsidR="009536EE" w:rsidRPr="00AF2A12" w:rsidRDefault="009536EE" w:rsidP="008B3A78">
      <w:pPr>
        <w:pStyle w:val="ICRPannexparagraph"/>
      </w:pPr>
      <w:r w:rsidRPr="00AF2A12">
        <w:t>Due to the particle activities and the habits observed, potential public exposures were assessed for skin contact, inadvertent ingestion, inhalation, and external exposure. The</w:t>
      </w:r>
      <w:r w:rsidR="00902EB7">
        <w:t xml:space="preserve"> main exposure pathways of concern were skin contact and inadvertent ingestion; inhalation and external exposure</w:t>
      </w:r>
      <w:r w:rsidR="00D80C1D">
        <w:t xml:space="preserve"> did </w:t>
      </w:r>
      <w:r w:rsidRPr="00AF2A12">
        <w:t>not exceed the RCL criteria at the time of assessment.</w:t>
      </w:r>
    </w:p>
    <w:p w14:paraId="175DB539" w14:textId="6FB3DCBC" w:rsidR="009536EE" w:rsidRPr="00AF2A12" w:rsidRDefault="009536EE" w:rsidP="008B3A78">
      <w:pPr>
        <w:pStyle w:val="ICRPannexparagraph"/>
      </w:pPr>
      <w:r w:rsidRPr="00AF2A12">
        <w:t xml:space="preserve">For assessing potential ingestion doses, an </w:t>
      </w:r>
      <w:r w:rsidRPr="00667C97">
        <w:t>in-vitro</w:t>
      </w:r>
      <w:r w:rsidRPr="00AF2A12">
        <w:t xml:space="preserve"> solubility study was commissioned to estimate the amount of radioactivity that could be released into the gastrointestinal tract and hence be available for absorption. Using simulated stomach and </w:t>
      </w:r>
      <w:r w:rsidR="00D80C1D">
        <w:t xml:space="preserve">small </w:t>
      </w:r>
      <w:r w:rsidRPr="00AF2A12">
        <w:t xml:space="preserve">intestine fluids, a sample of 60 particles were digested and the activity in the fluids measured by gamma spectrometry. The study demonstrated that the solubility of the particles varies greatly, ranging from </w:t>
      </w:r>
      <w:r w:rsidR="00376972">
        <w:t xml:space="preserve">less than </w:t>
      </w:r>
      <w:r w:rsidRPr="00AF2A12">
        <w:t xml:space="preserve">1% to 35% for </w:t>
      </w:r>
      <w:r w:rsidR="00D40CE3" w:rsidRPr="00667C97">
        <w:rPr>
          <w:vertAlign w:val="superscript"/>
        </w:rPr>
        <w:t>226</w:t>
      </w:r>
      <w:r w:rsidRPr="00AF2A12">
        <w:t>Ra (</w:t>
      </w:r>
      <w:r w:rsidR="00251FE0">
        <w:t>Tyler, 2013</w:t>
      </w:r>
      <w:r w:rsidRPr="00AF2A12">
        <w:t xml:space="preserve">). Using a mean value of 7.59%, particles of 100kBq </w:t>
      </w:r>
      <w:r w:rsidR="00D40CE3" w:rsidRPr="00667C97">
        <w:rPr>
          <w:vertAlign w:val="superscript"/>
        </w:rPr>
        <w:t>226</w:t>
      </w:r>
      <w:r w:rsidRPr="00AF2A12">
        <w:t xml:space="preserve">Ra could deliver a </w:t>
      </w:r>
      <w:r w:rsidR="000A29AD">
        <w:t xml:space="preserve">committed </w:t>
      </w:r>
      <w:r w:rsidRPr="00AF2A12">
        <w:t xml:space="preserve">effective dose </w:t>
      </w:r>
      <w:r w:rsidR="00376972">
        <w:t xml:space="preserve">greater than </w:t>
      </w:r>
      <w:r w:rsidRPr="00AF2A12">
        <w:t>100</w:t>
      </w:r>
      <w:r w:rsidR="00D40CE3">
        <w:t xml:space="preserve"> </w:t>
      </w:r>
      <w:r w:rsidRPr="00AF2A12">
        <w:t xml:space="preserve">mSv to the 3-month and 1-year ICRP age groups. As particles ≥ 100 kBq </w:t>
      </w:r>
      <w:r w:rsidR="00D40CE3" w:rsidRPr="00667C97">
        <w:rPr>
          <w:vertAlign w:val="superscript"/>
        </w:rPr>
        <w:t>226</w:t>
      </w:r>
      <w:r w:rsidRPr="00AF2A12">
        <w:t>Ra have been found on the beach, the first RCL criteria has been met.</w:t>
      </w:r>
    </w:p>
    <w:p w14:paraId="00FE0FE5" w14:textId="09054415" w:rsidR="009536EE" w:rsidRPr="00AF2A12" w:rsidRDefault="009536EE" w:rsidP="008B3A78">
      <w:pPr>
        <w:pStyle w:val="ICRPannexparagraph"/>
      </w:pPr>
      <w:r w:rsidRPr="00AF2A12">
        <w:t xml:space="preserve">For assessing potential skin doses, studies were commissioned to model and measure the potential dose rates from </w:t>
      </w:r>
      <w:r w:rsidR="00D40CE3" w:rsidRPr="00667C97">
        <w:rPr>
          <w:vertAlign w:val="superscript"/>
        </w:rPr>
        <w:t>226</w:t>
      </w:r>
      <w:r w:rsidRPr="00AF2A12">
        <w:t>Ra particles over a skin area of 1 cm</w:t>
      </w:r>
      <w:r w:rsidRPr="00AF2A12">
        <w:rPr>
          <w:vertAlign w:val="superscript"/>
        </w:rPr>
        <w:t>2</w:t>
      </w:r>
      <w:r w:rsidRPr="00AF2A12">
        <w:t xml:space="preserve"> and at a skin thickness of 70</w:t>
      </w:r>
      <w:r w:rsidR="00D40CE3">
        <w:t xml:space="preserve"> </w:t>
      </w:r>
      <w:r w:rsidRPr="00AF2A12">
        <w:t xml:space="preserve">µm, as recommended by the ICRP. Based on this work, particles with </w:t>
      </w:r>
      <w:r w:rsidR="00D40CE3" w:rsidRPr="00667C97">
        <w:rPr>
          <w:vertAlign w:val="superscript"/>
        </w:rPr>
        <w:t>226</w:t>
      </w:r>
      <w:r w:rsidRPr="00AF2A12">
        <w:t xml:space="preserve">Ra activities ≥ 10 MBq could deliver dose rates to the skin </w:t>
      </w:r>
      <w:r w:rsidR="00D30EEB">
        <w:t>that exceed</w:t>
      </w:r>
      <w:r w:rsidRPr="00AF2A12">
        <w:t xml:space="preserve"> the RCL criteria of 10 Gy h</w:t>
      </w:r>
      <w:r w:rsidR="00D40CE3">
        <w:rPr>
          <w:vertAlign w:val="superscript"/>
        </w:rPr>
        <w:t>−</w:t>
      </w:r>
      <w:r w:rsidRPr="00AF2A12">
        <w:rPr>
          <w:vertAlign w:val="superscript"/>
        </w:rPr>
        <w:t>1</w:t>
      </w:r>
      <w:r w:rsidRPr="00AF2A12">
        <w:t xml:space="preserve"> (</w:t>
      </w:r>
      <w:r w:rsidR="00251FE0">
        <w:t>Charles, 2010</w:t>
      </w:r>
      <w:r w:rsidRPr="00AF2A12">
        <w:t>). Only two particles have been found on the beach with activities ≥ 10 MBq but, given the first RCL criteria is irrespective of the probability of the dose being received, it has again been met.</w:t>
      </w:r>
    </w:p>
    <w:p w14:paraId="010ED966" w14:textId="2B953A11" w:rsidR="002438BF" w:rsidRPr="0004088B" w:rsidRDefault="009536EE" w:rsidP="008B3A78">
      <w:pPr>
        <w:pStyle w:val="ICRPannexparagraph"/>
      </w:pPr>
      <w:r w:rsidRPr="00AF2A12">
        <w:t>The probability of members of the public encountering a particle was assessed using the site-specific data on the habits observed and the number of particles found in the environment, as well as assumptions for other parameters such as the area of skin uncovered and breathing rates. The probability of any member of the public encountering a particle that could realistically cause harm was assessed to be ~1 in 700,000 per year for inadvertent ingestion and ~1 in 300 per year for skin contact, with a total probability for all exposure pathways of ~1 in 200 per year (</w:t>
      </w:r>
      <w:r w:rsidR="006E5C80">
        <w:t>Dale, 2013</w:t>
      </w:r>
      <w:r w:rsidRPr="00AF2A12">
        <w:t>).</w:t>
      </w:r>
    </w:p>
    <w:p w14:paraId="31B6D83D" w14:textId="60A4BB1D" w:rsidR="002438BF" w:rsidRPr="0004088B" w:rsidRDefault="0004088B" w:rsidP="0004088B">
      <w:pPr>
        <w:pStyle w:val="ICRPannexheading3"/>
        <w:spacing w:before="240" w:after="240"/>
        <w:rPr>
          <w:b/>
          <w:bCs/>
        </w:rPr>
      </w:pPr>
      <w:r w:rsidRPr="0004088B">
        <w:rPr>
          <w:rFonts w:eastAsiaTheme="minorEastAsia"/>
          <w:b/>
          <w:bCs/>
          <w:lang w:eastAsia="ja-JP"/>
        </w:rPr>
        <w:t>Remedial</w:t>
      </w:r>
      <w:r w:rsidR="002438BF" w:rsidRPr="0004088B">
        <w:rPr>
          <w:b/>
          <w:bCs/>
        </w:rPr>
        <w:t xml:space="preserve"> </w:t>
      </w:r>
      <w:r w:rsidRPr="0004088B">
        <w:rPr>
          <w:rFonts w:eastAsiaTheme="minorEastAsia"/>
          <w:b/>
          <w:bCs/>
          <w:lang w:eastAsia="ja-JP"/>
        </w:rPr>
        <w:t>actions</w:t>
      </w:r>
      <w:r w:rsidR="002438BF" w:rsidRPr="0004088B">
        <w:rPr>
          <w:b/>
          <w:bCs/>
        </w:rPr>
        <w:t xml:space="preserve"> </w:t>
      </w:r>
    </w:p>
    <w:p w14:paraId="4E926481" w14:textId="03517906" w:rsidR="009536EE" w:rsidRPr="00D01CFA" w:rsidRDefault="009536EE" w:rsidP="00667C97">
      <w:pPr>
        <w:pStyle w:val="ICRPannexparagraph"/>
        <w:spacing w:after="240"/>
        <w:rPr>
          <w:bCs/>
          <w:szCs w:val="24"/>
        </w:rPr>
      </w:pPr>
      <w:r w:rsidRPr="00D01CFA">
        <w:lastRenderedPageBreak/>
        <w:t>P</w:t>
      </w:r>
      <w:r w:rsidR="0028288D">
        <w:t xml:space="preserve">ublic </w:t>
      </w:r>
      <w:r w:rsidRPr="00D01CFA">
        <w:t>H</w:t>
      </w:r>
      <w:r w:rsidR="0028288D">
        <w:t xml:space="preserve">ealth </w:t>
      </w:r>
      <w:r w:rsidRPr="00D01CFA">
        <w:t>E</w:t>
      </w:r>
      <w:r w:rsidR="0028288D">
        <w:t>ngland</w:t>
      </w:r>
      <w:r w:rsidR="00841A43">
        <w:t xml:space="preserve"> (PHE)</w:t>
      </w:r>
      <w:r w:rsidRPr="00D01CFA">
        <w:t xml:space="preserve"> </w:t>
      </w:r>
      <w:r w:rsidR="008B43FB">
        <w:t>(</w:t>
      </w:r>
      <w:r w:rsidRPr="00D01CFA">
        <w:t xml:space="preserve">now known as the UK Health Security Agency) is the UK’s authority on health protection, including providing radiological protection advice. To inform the remediation at Dalgety Bay, PHE provided risk-based advice in the form of remediation criteria, which </w:t>
      </w:r>
      <w:r w:rsidR="00841A43">
        <w:t>were</w:t>
      </w:r>
      <w:r w:rsidR="00841A43" w:rsidRPr="00D01CFA">
        <w:t xml:space="preserve"> </w:t>
      </w:r>
      <w:r w:rsidRPr="00D01CFA">
        <w:t>designed firstly to avoid tissue reactions or unacceptably high stochastic risks from higher activity particles, and secondly to ensure the approach taken to lower activity particles is optimised. The advice comprised two remediation criteria summarised as follows</w:t>
      </w:r>
      <w:r w:rsidR="008B43FB">
        <w:t>.</w:t>
      </w:r>
    </w:p>
    <w:p w14:paraId="6126895F" w14:textId="49169EF3" w:rsidR="009536EE" w:rsidRPr="00AF2A12" w:rsidRDefault="009536EE" w:rsidP="00667C97">
      <w:pPr>
        <w:pStyle w:val="Annalstext"/>
        <w:numPr>
          <w:ilvl w:val="0"/>
          <w:numId w:val="70"/>
        </w:numPr>
        <w:ind w:left="360"/>
        <w:rPr>
          <w:color w:val="000000" w:themeColor="text1"/>
          <w:szCs w:val="24"/>
        </w:rPr>
      </w:pPr>
      <w:r w:rsidRPr="00AF2A12">
        <w:rPr>
          <w:bCs/>
          <w:color w:val="000000" w:themeColor="text1"/>
        </w:rPr>
        <w:t>Criterion 1:</w:t>
      </w:r>
      <w:r w:rsidRPr="00AF2A12">
        <w:rPr>
          <w:color w:val="000000" w:themeColor="text1"/>
        </w:rPr>
        <w:t xml:space="preserve"> All efforts should be made to ensure that objects that could give rise to a committed effective dose of 100 mSv to an individual, regardless of object size, or an external dose of 1 Gy h</w:t>
      </w:r>
      <w:r w:rsidR="008B43FB">
        <w:rPr>
          <w:color w:val="000000" w:themeColor="text1"/>
          <w:vertAlign w:val="superscript"/>
        </w:rPr>
        <w:t>−</w:t>
      </w:r>
      <w:r w:rsidRPr="00AF2A12">
        <w:rPr>
          <w:color w:val="000000" w:themeColor="text1"/>
          <w:vertAlign w:val="superscript"/>
        </w:rPr>
        <w:t>1</w:t>
      </w:r>
      <w:r w:rsidRPr="00AF2A12">
        <w:rPr>
          <w:color w:val="000000" w:themeColor="text1"/>
        </w:rPr>
        <w:t>, averaged over an area of 1 cm</w:t>
      </w:r>
      <w:r w:rsidRPr="00AF2A12">
        <w:rPr>
          <w:color w:val="000000" w:themeColor="text1"/>
          <w:vertAlign w:val="superscript"/>
        </w:rPr>
        <w:t>2</w:t>
      </w:r>
      <w:r w:rsidRPr="00AF2A12">
        <w:rPr>
          <w:color w:val="000000" w:themeColor="text1"/>
        </w:rPr>
        <w:t xml:space="preserve"> skin at a depth of 70 µm, are either removed or isolated so that there is no credible current or future mechanism for exposure. In terms of activity, a criterion for the </w:t>
      </w:r>
      <w:r w:rsidR="008B43FB" w:rsidRPr="00667C97">
        <w:rPr>
          <w:color w:val="000000" w:themeColor="text1"/>
          <w:vertAlign w:val="superscript"/>
        </w:rPr>
        <w:t>226</w:t>
      </w:r>
      <w:r w:rsidRPr="00AF2A12">
        <w:rPr>
          <w:color w:val="000000" w:themeColor="text1"/>
        </w:rPr>
        <w:t xml:space="preserve">Ra activity content for any single object of 20–40 kBq detected in recovered material is recommended as a cautious indicative value corresponding to a committed effective dose of 100 mSv to an individual. Additionally, a criterion for the </w:t>
      </w:r>
      <w:r w:rsidR="0027448D" w:rsidRPr="00667C97">
        <w:rPr>
          <w:color w:val="000000" w:themeColor="text1"/>
          <w:vertAlign w:val="superscript"/>
        </w:rPr>
        <w:t>226</w:t>
      </w:r>
      <w:r w:rsidRPr="00AF2A12">
        <w:rPr>
          <w:color w:val="000000" w:themeColor="text1"/>
        </w:rPr>
        <w:t>Ra activity content for any single object of 1–2 MBq detected in recovered material is recommended as an indicative value corresponding to the 1 Gy h</w:t>
      </w:r>
      <w:r w:rsidR="0027448D">
        <w:rPr>
          <w:color w:val="000000" w:themeColor="text1"/>
          <w:vertAlign w:val="superscript"/>
        </w:rPr>
        <w:t>−</w:t>
      </w:r>
      <w:r w:rsidRPr="00AF2A12">
        <w:rPr>
          <w:color w:val="000000" w:themeColor="text1"/>
          <w:vertAlign w:val="superscript"/>
        </w:rPr>
        <w:t>1</w:t>
      </w:r>
      <w:r w:rsidRPr="00AF2A12">
        <w:rPr>
          <w:color w:val="000000" w:themeColor="text1"/>
        </w:rPr>
        <w:t xml:space="preserve"> criterion. </w:t>
      </w:r>
    </w:p>
    <w:p w14:paraId="1E70D98E" w14:textId="4194284C" w:rsidR="009536EE" w:rsidRPr="005340D2" w:rsidRDefault="009536EE" w:rsidP="00667C97">
      <w:pPr>
        <w:pStyle w:val="Annalstext"/>
        <w:numPr>
          <w:ilvl w:val="0"/>
          <w:numId w:val="70"/>
        </w:numPr>
        <w:spacing w:after="240"/>
        <w:ind w:left="360"/>
        <w:rPr>
          <w:color w:val="000000" w:themeColor="text1"/>
          <w:szCs w:val="24"/>
        </w:rPr>
      </w:pPr>
      <w:r w:rsidRPr="00AF2A12">
        <w:rPr>
          <w:bCs/>
          <w:color w:val="000000" w:themeColor="text1"/>
        </w:rPr>
        <w:t>Criterion 2:</w:t>
      </w:r>
      <w:r w:rsidRPr="00AF2A12">
        <w:rPr>
          <w:color w:val="000000" w:themeColor="text1"/>
        </w:rPr>
        <w:t xml:space="preserve"> Contaminated objects remaining after application of Criterion 1 should be either removed or isolated so that the current or future probability of an individual receiving 1 mSv committed effective dose is less than 10</w:t>
      </w:r>
      <w:r w:rsidR="0027448D">
        <w:rPr>
          <w:color w:val="000000" w:themeColor="text1"/>
          <w:vertAlign w:val="superscript"/>
        </w:rPr>
        <w:t>−</w:t>
      </w:r>
      <w:r w:rsidRPr="00AF2A12">
        <w:rPr>
          <w:color w:val="000000" w:themeColor="text1"/>
          <w:vertAlign w:val="superscript"/>
        </w:rPr>
        <w:t>6</w:t>
      </w:r>
      <w:r w:rsidRPr="00AF2A12">
        <w:rPr>
          <w:color w:val="000000" w:themeColor="text1"/>
        </w:rPr>
        <w:t xml:space="preserve"> per year. In addressing this criterion, optimisation should be carried </w:t>
      </w:r>
      <w:proofErr w:type="gramStart"/>
      <w:r w:rsidRPr="00AF2A12">
        <w:rPr>
          <w:color w:val="000000" w:themeColor="text1"/>
        </w:rPr>
        <w:t>out</w:t>
      </w:r>
      <w:proofErr w:type="gramEnd"/>
      <w:r w:rsidRPr="00AF2A12">
        <w:rPr>
          <w:color w:val="000000" w:themeColor="text1"/>
        </w:rPr>
        <w:t xml:space="preserve"> so that increasing weight is given to management options that remove or isolate objects of increasingly high activity. In terms of activity, it is recommended that a </w:t>
      </w:r>
      <w:r w:rsidR="0027448D" w:rsidRPr="00667C97">
        <w:rPr>
          <w:color w:val="000000" w:themeColor="text1"/>
          <w:vertAlign w:val="superscript"/>
        </w:rPr>
        <w:t>226</w:t>
      </w:r>
      <w:r w:rsidRPr="00AF2A12">
        <w:rPr>
          <w:color w:val="000000" w:themeColor="text1"/>
        </w:rPr>
        <w:t>Ra activity content for an object of 1 kBq is adopted as an indicative value corresponding to a committed effective dose of 1 mSv to an individual.</w:t>
      </w:r>
    </w:p>
    <w:p w14:paraId="21EE4B2A" w14:textId="2AEFE341" w:rsidR="005340D2" w:rsidRPr="0004088B" w:rsidRDefault="005340D2" w:rsidP="008B3A78">
      <w:pPr>
        <w:pStyle w:val="ICRPannexparagraph"/>
      </w:pPr>
      <w:r w:rsidRPr="005340D2">
        <w:t xml:space="preserve">A comprehensive study of the history of Dalgety Bay was undertaken to establish the source of the contamination and identify those who </w:t>
      </w:r>
      <w:r w:rsidR="00601A80">
        <w:t>were</w:t>
      </w:r>
      <w:r w:rsidR="00601A80" w:rsidRPr="005340D2">
        <w:t xml:space="preserve"> </w:t>
      </w:r>
      <w:r w:rsidRPr="005340D2">
        <w:t>to bear responsibility for the remediation. A wide variety of resources were used including historical maps and aerial photographs of the area, records of landownership, witness accounts and records of the activities undertaken on the site, as well as geotechnical data from site investigations undertaken by the UK Ministry of Defence. The study established the contamination originate</w:t>
      </w:r>
      <w:r w:rsidR="005C5E3B">
        <w:t>d</w:t>
      </w:r>
      <w:r w:rsidRPr="005340D2">
        <w:t xml:space="preserve"> from the activities undertaken on the site when it was operated as an airfield and servicing base, and the UK Ministry of Defence caused, or knowingly permitted, the contamination to be deposited in, on, or under the land. The geotechnical data revealed the contamination was deposited prior to 1959, some of which has since been disturbed by coastal erosion, allowing some of the contamination to be released onto the beach and mobilised through coastal processes. The study concluded the UK Ministry of Defence to be the sole Appropriate Person to bear responsibility for the remediation of the site (</w:t>
      </w:r>
      <w:r w:rsidR="00414C96">
        <w:t>Patton, 2013</w:t>
      </w:r>
      <w:r w:rsidRPr="005340D2">
        <w:t>). In response, the UK Ministry of Defence agreed to undertake the remediation on a voluntary basis, without accepting liability, meaning that formal regulatory enforcement was not required.</w:t>
      </w:r>
    </w:p>
    <w:p w14:paraId="4DC64F7E" w14:textId="06337631" w:rsidR="005340D2" w:rsidRPr="0004088B" w:rsidRDefault="0004088B" w:rsidP="0004088B">
      <w:pPr>
        <w:pStyle w:val="ICRPannexheading3"/>
        <w:spacing w:before="240" w:after="240"/>
        <w:rPr>
          <w:b/>
          <w:bCs/>
        </w:rPr>
      </w:pPr>
      <w:r w:rsidRPr="0004088B">
        <w:rPr>
          <w:rFonts w:eastAsiaTheme="minorEastAsia"/>
          <w:b/>
          <w:bCs/>
          <w:lang w:eastAsia="ja-JP"/>
        </w:rPr>
        <w:t>Selected</w:t>
      </w:r>
      <w:r w:rsidR="005340D2" w:rsidRPr="0004088B">
        <w:rPr>
          <w:b/>
          <w:bCs/>
        </w:rPr>
        <w:t xml:space="preserve"> </w:t>
      </w:r>
      <w:r>
        <w:rPr>
          <w:rFonts w:eastAsiaTheme="minorEastAsia"/>
          <w:b/>
          <w:bCs/>
          <w:lang w:eastAsia="ja-JP"/>
        </w:rPr>
        <w:t>r</w:t>
      </w:r>
      <w:r w:rsidRPr="0004088B">
        <w:rPr>
          <w:rFonts w:eastAsiaTheme="minorEastAsia"/>
          <w:b/>
          <w:bCs/>
          <w:lang w:eastAsia="ja-JP"/>
        </w:rPr>
        <w:t>emedy</w:t>
      </w:r>
    </w:p>
    <w:p w14:paraId="4BE46851" w14:textId="76FE2E50" w:rsidR="009536EE" w:rsidRPr="005340D2" w:rsidRDefault="009536EE" w:rsidP="008B3A78">
      <w:pPr>
        <w:pStyle w:val="ICRPannexparagraph"/>
      </w:pPr>
      <w:r w:rsidRPr="005340D2">
        <w:t>The UK Ministry of Defence, and appointed contractors, developed and implement</w:t>
      </w:r>
      <w:r w:rsidR="00AB78AB">
        <w:t>ed</w:t>
      </w:r>
      <w:r w:rsidRPr="005340D2">
        <w:t xml:space="preserve"> a remediation plan for the site to address the contamination present on the beach, as well as the contamination present within the adjacent land. To address the contamination on the beach, the plan involve</w:t>
      </w:r>
      <w:r w:rsidR="00226381">
        <w:t>d</w:t>
      </w:r>
      <w:r w:rsidRPr="005340D2">
        <w:t xml:space="preserve"> the removal of beach material followed by screening to remove particles in accordance with the remediation criteria. To address the contamination within the </w:t>
      </w:r>
      <w:r w:rsidRPr="005340D2">
        <w:lastRenderedPageBreak/>
        <w:t xml:space="preserve">land, the screened material </w:t>
      </w:r>
      <w:r w:rsidR="003A2A92">
        <w:t>was</w:t>
      </w:r>
      <w:r w:rsidR="003A2A92" w:rsidRPr="005340D2">
        <w:t xml:space="preserve"> </w:t>
      </w:r>
      <w:r w:rsidRPr="005340D2">
        <w:t>returned to the beach, covered with a geotextile membrane, and finished with rock armour to prevent any</w:t>
      </w:r>
      <w:r w:rsidR="00414C8A">
        <w:t xml:space="preserve"> residual</w:t>
      </w:r>
      <w:r w:rsidRPr="005340D2">
        <w:t xml:space="preserve"> contamination still within the land from being eroded and deposited on the beach. Together, these remedial actions aim</w:t>
      </w:r>
      <w:r w:rsidR="00551522">
        <w:t>ed</w:t>
      </w:r>
      <w:r w:rsidRPr="005340D2">
        <w:t xml:space="preserve"> to ensure the public are protected, both now and in the future.</w:t>
      </w:r>
    </w:p>
    <w:p w14:paraId="1482D993" w14:textId="48A3F21F" w:rsidR="009536EE" w:rsidRPr="00AF2A12" w:rsidRDefault="009536EE" w:rsidP="008B3A78">
      <w:pPr>
        <w:pStyle w:val="ICRPannexparagraph"/>
      </w:pPr>
      <w:r w:rsidRPr="00AF2A12">
        <w:t>Following completion of the remediation plan</w:t>
      </w:r>
      <w:r w:rsidR="005C0053">
        <w:t xml:space="preserve"> in 2023</w:t>
      </w:r>
      <w:r w:rsidRPr="00AF2A12">
        <w:t xml:space="preserve">, the UK Ministry of Defence, and appointed contractors, </w:t>
      </w:r>
      <w:r w:rsidR="00794F58">
        <w:t>are</w:t>
      </w:r>
      <w:r w:rsidR="00794F58" w:rsidRPr="00AF2A12">
        <w:t xml:space="preserve"> </w:t>
      </w:r>
      <w:r w:rsidRPr="00AF2A12">
        <w:t>undertak</w:t>
      </w:r>
      <w:r w:rsidR="00794F58">
        <w:t>ing</w:t>
      </w:r>
      <w:r w:rsidRPr="00AF2A12">
        <w:t xml:space="preserve"> verification monitoring </w:t>
      </w:r>
      <w:r w:rsidR="005340D2" w:rsidRPr="00AF2A12">
        <w:t xml:space="preserve">for </w:t>
      </w:r>
      <w:r w:rsidR="005340D2">
        <w:t>two</w:t>
      </w:r>
      <w:r w:rsidRPr="00AF2A12">
        <w:t xml:space="preserve"> years to demonstrate its efficacy. After the </w:t>
      </w:r>
      <w:r w:rsidR="005340D2">
        <w:t xml:space="preserve">two </w:t>
      </w:r>
      <w:r w:rsidR="005340D2" w:rsidRPr="00AF2A12">
        <w:t>years</w:t>
      </w:r>
      <w:r w:rsidRPr="00AF2A12">
        <w:t xml:space="preserve">, assuming the verification is successful, SEPA will periodically undertake reassurance monitoring of the beach at a frequency and duration yet to be determined, and the local government authority will take responsibility for maintaining the integrity of the rock armour. </w:t>
      </w:r>
    </w:p>
    <w:p w14:paraId="7AE19053" w14:textId="35E4AF7C" w:rsidR="009536EE" w:rsidRPr="00AF2A12" w:rsidRDefault="009536EE" w:rsidP="008B3A78">
      <w:pPr>
        <w:pStyle w:val="ICRPannexparagraph"/>
      </w:pPr>
      <w:r w:rsidRPr="00AF2A12">
        <w:t xml:space="preserve">The process of delivering a sustainable solution for Dalgety Bay required ongoing stakeholder </w:t>
      </w:r>
      <w:r w:rsidR="00990901">
        <w:t>involvement</w:t>
      </w:r>
      <w:r w:rsidRPr="00AF2A12">
        <w:t xml:space="preserve">. Continuous engagement with the UK Ministry of Defence meant that remediation </w:t>
      </w:r>
      <w:r w:rsidR="00733364">
        <w:t>was</w:t>
      </w:r>
      <w:r w:rsidRPr="00AF2A12">
        <w:t xml:space="preserve"> taken forward on a voluntary basis, rather than through regulatory enforcement. Regular participation in the Dalgety Bay Community Council meetings kept the local community updated and given them the opportunity to ask questions. Wider engagement </w:t>
      </w:r>
      <w:r w:rsidR="00C963EA">
        <w:t>was</w:t>
      </w:r>
      <w:r w:rsidRPr="00AF2A12">
        <w:t xml:space="preserve"> achieved through various group meetings, such as the Dalgety Bay Forum, allowing for communication between national and local government, public agencies, the UK Ministry of Defence, the current landowner and occupier, and the local community. </w:t>
      </w:r>
    </w:p>
    <w:p w14:paraId="3A6ABBA3" w14:textId="76956982" w:rsidR="009536EE" w:rsidRPr="00AF2A12" w:rsidRDefault="009536EE" w:rsidP="008B3A78">
      <w:pPr>
        <w:pStyle w:val="ICRPannexparagraph"/>
      </w:pPr>
      <w:r w:rsidRPr="00AF2A12">
        <w:t xml:space="preserve">Additionally, it is </w:t>
      </w:r>
      <w:r w:rsidR="00820E9E">
        <w:t>worthy</w:t>
      </w:r>
      <w:r w:rsidR="00820E9E" w:rsidRPr="00AF2A12">
        <w:t xml:space="preserve"> </w:t>
      </w:r>
      <w:r w:rsidRPr="00AF2A12">
        <w:t xml:space="preserve">to note that SEPA </w:t>
      </w:r>
      <w:r w:rsidR="00C963EA">
        <w:t>did not act</w:t>
      </w:r>
      <w:r w:rsidRPr="00AF2A12">
        <w:t xml:space="preserve"> unilaterally in addressing the contamination at Dalgety Bay. An advisory group was formed to provide SEPA with independent scientific advice, comprising experts with </w:t>
      </w:r>
      <w:r w:rsidR="003E4E2C">
        <w:t>knowledge</w:t>
      </w:r>
      <w:r w:rsidR="003E4E2C" w:rsidRPr="00AF2A12">
        <w:t xml:space="preserve"> </w:t>
      </w:r>
      <w:r w:rsidRPr="00AF2A12">
        <w:t>in areas such as radiation detection, coastal processes, and statistics. As the UK’s authority on health protection, PHE provided advice to the Scottish Government (</w:t>
      </w:r>
      <w:r w:rsidR="00414C96">
        <w:t>Brown, 2012</w:t>
      </w:r>
      <w:r w:rsidRPr="00AF2A12">
        <w:t>), as did the UK Government Committee on Medical Aspects of Radiation in the Environment (</w:t>
      </w:r>
      <w:r w:rsidR="00414C96">
        <w:t>COMARE, 2014</w:t>
      </w:r>
      <w:r w:rsidRPr="00AF2A12">
        <w:t xml:space="preserve">). Expert engagement </w:t>
      </w:r>
      <w:r w:rsidR="00C1336B">
        <w:t>was</w:t>
      </w:r>
      <w:r w:rsidRPr="00AF2A12">
        <w:t xml:space="preserve"> important in ensuring the decisions made for Dalgety Bay </w:t>
      </w:r>
      <w:r w:rsidR="00C1336B">
        <w:t>were</w:t>
      </w:r>
      <w:r w:rsidR="00C1336B" w:rsidRPr="00AF2A12">
        <w:t xml:space="preserve"> </w:t>
      </w:r>
      <w:r w:rsidRPr="00AF2A12">
        <w:t>founded on the best available data and information.</w:t>
      </w:r>
    </w:p>
    <w:p w14:paraId="2BAD1CE1" w14:textId="7D5E0BA5" w:rsidR="009536EE" w:rsidRDefault="009536EE" w:rsidP="008B3A78">
      <w:pPr>
        <w:pStyle w:val="ICRPannexparagraph"/>
      </w:pPr>
      <w:r w:rsidRPr="00AF2A12">
        <w:t xml:space="preserve">Following the initial discovery of the contamination, various public protection measures </w:t>
      </w:r>
      <w:r w:rsidR="00C1336B">
        <w:t>were</w:t>
      </w:r>
      <w:r w:rsidRPr="00AF2A12">
        <w:t xml:space="preserve"> </w:t>
      </w:r>
      <w:r w:rsidR="00B869F1" w:rsidRPr="00AF2A12">
        <w:t xml:space="preserve">introduced </w:t>
      </w:r>
      <w:r w:rsidR="00B869F1">
        <w:t xml:space="preserve">by the relevant authorities </w:t>
      </w:r>
      <w:r w:rsidRPr="00AF2A12">
        <w:t xml:space="preserve">whilst the work to characterise, assess, and remediate the site </w:t>
      </w:r>
      <w:r w:rsidR="00C1336B">
        <w:t>was</w:t>
      </w:r>
      <w:r w:rsidR="00C1336B" w:rsidRPr="00AF2A12">
        <w:t xml:space="preserve"> </w:t>
      </w:r>
      <w:r w:rsidRPr="00AF2A12">
        <w:t xml:space="preserve">progressed. Initially, these measures included monitoring of the beach with any detected particles removed, as well as issuing </w:t>
      </w:r>
      <w:proofErr w:type="gramStart"/>
      <w:r w:rsidRPr="00AF2A12">
        <w:t>general public</w:t>
      </w:r>
      <w:proofErr w:type="gramEnd"/>
      <w:r w:rsidRPr="00AF2A12">
        <w:t xml:space="preserve"> health advice. As understanding of the site improved, part of the beach where the radioactive particles of the highest activities </w:t>
      </w:r>
      <w:r w:rsidR="007E7D64">
        <w:t>were</w:t>
      </w:r>
      <w:r w:rsidRPr="00AF2A12">
        <w:t xml:space="preserve"> found </w:t>
      </w:r>
      <w:r w:rsidR="007E7D64">
        <w:t>was</w:t>
      </w:r>
      <w:r w:rsidRPr="00AF2A12">
        <w:t xml:space="preserve"> closed to the public, and the collection of fish and shellfish for human consumption </w:t>
      </w:r>
      <w:r w:rsidR="007E7D64">
        <w:t>was</w:t>
      </w:r>
      <w:r w:rsidRPr="00AF2A12">
        <w:t xml:space="preserve"> prohibited.  </w:t>
      </w:r>
    </w:p>
    <w:p w14:paraId="2B39B436" w14:textId="433E467A" w:rsidR="0042465B" w:rsidRPr="0004088B" w:rsidRDefault="005E3428" w:rsidP="008B3A78">
      <w:pPr>
        <w:pStyle w:val="ICRPannexparagraph"/>
      </w:pPr>
      <w:r>
        <w:t xml:space="preserve">In 2023, the </w:t>
      </w:r>
      <w:r w:rsidR="00FB2B2E">
        <w:t xml:space="preserve">Dalgety Bay remediation work </w:t>
      </w:r>
      <w:r>
        <w:t>was</w:t>
      </w:r>
      <w:r w:rsidR="00FB2B2E" w:rsidRPr="00FB2B2E">
        <w:t xml:space="preserve"> complete</w:t>
      </w:r>
      <w:r w:rsidR="00FB2B2E">
        <w:t>d</w:t>
      </w:r>
      <w:r w:rsidR="00850C7E">
        <w:t xml:space="preserve"> and</w:t>
      </w:r>
      <w:r w:rsidR="00FB2B2E">
        <w:t xml:space="preserve">, </w:t>
      </w:r>
      <w:r w:rsidR="00FB2B2E" w:rsidRPr="00FB2B2E">
        <w:t xml:space="preserve">alongside </w:t>
      </w:r>
      <w:r w:rsidR="0097708B">
        <w:t>the post-remediation verification monitoring followed by the reassurance monitoring and agreed maintenance</w:t>
      </w:r>
      <w:r w:rsidR="00FB2B2E">
        <w:t xml:space="preserve">, </w:t>
      </w:r>
      <w:r w:rsidR="00FB2B2E" w:rsidRPr="00FB2B2E">
        <w:t xml:space="preserve">the public will be able to enjoy access again </w:t>
      </w:r>
      <w:r w:rsidR="00FB2B2E">
        <w:t xml:space="preserve">to the site </w:t>
      </w:r>
      <w:r w:rsidR="00FB2B2E" w:rsidRPr="00FB2B2E">
        <w:t>for the first time since 2011</w:t>
      </w:r>
      <w:r w:rsidR="00FB2B2E">
        <w:t>.</w:t>
      </w:r>
    </w:p>
    <w:p w14:paraId="5FC3589A" w14:textId="6ADBB6A1" w:rsidR="0042465B" w:rsidRPr="0004088B" w:rsidRDefault="0004088B" w:rsidP="0004088B">
      <w:pPr>
        <w:pStyle w:val="ICRPannexheading3"/>
        <w:spacing w:before="240" w:after="240"/>
        <w:rPr>
          <w:b/>
          <w:bCs/>
        </w:rPr>
      </w:pPr>
      <w:r w:rsidRPr="0004088B">
        <w:rPr>
          <w:rFonts w:eastAsiaTheme="minorEastAsia"/>
          <w:b/>
          <w:bCs/>
          <w:lang w:eastAsia="ja-JP"/>
        </w:rPr>
        <w:t>Summary</w:t>
      </w:r>
    </w:p>
    <w:p w14:paraId="3889D24A" w14:textId="7CC4DEB4" w:rsidR="00010BAF" w:rsidRDefault="0042465B" w:rsidP="009A30CF">
      <w:pPr>
        <w:pStyle w:val="ICRPannexparagraph"/>
        <w:numPr>
          <w:ilvl w:val="0"/>
          <w:numId w:val="0"/>
        </w:numPr>
        <w:ind w:left="284"/>
      </w:pPr>
      <w:r w:rsidRPr="000D6EC5">
        <w:t xml:space="preserve">This case study has provided an example of an approach taken to address an existing exposure situation involving public exposures </w:t>
      </w:r>
      <w:r w:rsidR="0046799E">
        <w:t xml:space="preserve">not certain to occur </w:t>
      </w:r>
      <w:r w:rsidRPr="000D6EC5">
        <w:t xml:space="preserve">due to contamination from a past practice. The programme of work to </w:t>
      </w:r>
      <w:r w:rsidRPr="0042465B">
        <w:t xml:space="preserve">characterise the site, assess the potential public exposures against the RCL criteria, identify the appropriate person, and instigate a remediation plan has been described, as well as highlighting the importance of continuous stakeholder </w:t>
      </w:r>
      <w:r w:rsidR="00990901">
        <w:t>involvement</w:t>
      </w:r>
      <w:r w:rsidRPr="0042465B">
        <w:t xml:space="preserve">. </w:t>
      </w:r>
      <w:r w:rsidR="00CE69A6">
        <w:t>After</w:t>
      </w:r>
      <w:r w:rsidR="00CE69A6" w:rsidRPr="0042465B">
        <w:t xml:space="preserve"> </w:t>
      </w:r>
      <w:r w:rsidRPr="0042465B">
        <w:t>successful completion of the remediation plan, the public will once again have unrestricted access to their local amenities.</w:t>
      </w:r>
    </w:p>
    <w:p w14:paraId="21FDED1E" w14:textId="77777777" w:rsidR="009A30CF" w:rsidRDefault="009A30CF" w:rsidP="009A30CF">
      <w:pPr>
        <w:pStyle w:val="ICRPannexparagraph"/>
        <w:numPr>
          <w:ilvl w:val="0"/>
          <w:numId w:val="0"/>
        </w:numPr>
        <w:ind w:left="284"/>
      </w:pPr>
    </w:p>
    <w:p w14:paraId="0867DB92" w14:textId="77777777" w:rsidR="009A30CF" w:rsidRPr="00010BAF" w:rsidRDefault="009A30CF" w:rsidP="009A30CF">
      <w:pPr>
        <w:pStyle w:val="ICRPannexparagraph"/>
        <w:numPr>
          <w:ilvl w:val="0"/>
          <w:numId w:val="0"/>
        </w:numPr>
        <w:ind w:left="284"/>
      </w:pPr>
    </w:p>
    <w:p w14:paraId="45B57767" w14:textId="0495BEDB" w:rsidR="0042465B" w:rsidRPr="00010BAF" w:rsidRDefault="00010BAF" w:rsidP="00010BAF">
      <w:pPr>
        <w:pStyle w:val="ICRPannexheading2"/>
        <w:ind w:left="576"/>
      </w:pPr>
      <w:bookmarkStart w:id="120" w:name="_Toc166586826"/>
      <w:r w:rsidRPr="00010BAF">
        <w:rPr>
          <w:rFonts w:eastAsiaTheme="minorEastAsia"/>
          <w:lang w:eastAsia="ja-JP"/>
        </w:rPr>
        <w:lastRenderedPageBreak/>
        <w:t>References</w:t>
      </w:r>
      <w:bookmarkEnd w:id="120"/>
    </w:p>
    <w:p w14:paraId="3C9B887D" w14:textId="5E3FE8C9" w:rsidR="00EE2D62" w:rsidRPr="00511E01" w:rsidRDefault="00EE2D62" w:rsidP="00EE2D62">
      <w:pPr>
        <w:pStyle w:val="Annalstext"/>
        <w:ind w:left="284" w:hanging="284"/>
        <w:rPr>
          <w:color w:val="000000" w:themeColor="text1"/>
          <w:sz w:val="22"/>
        </w:rPr>
      </w:pPr>
      <w:r w:rsidRPr="00511E01">
        <w:rPr>
          <w:color w:val="000000" w:themeColor="text1"/>
          <w:sz w:val="22"/>
        </w:rPr>
        <w:t>AIRAC</w:t>
      </w:r>
      <w:r w:rsidR="001640AF" w:rsidRPr="00511E01">
        <w:rPr>
          <w:color w:val="000000" w:themeColor="text1"/>
          <w:sz w:val="22"/>
        </w:rPr>
        <w:t>,</w:t>
      </w:r>
      <w:r w:rsidRPr="00511E01">
        <w:rPr>
          <w:color w:val="000000" w:themeColor="text1"/>
          <w:sz w:val="22"/>
        </w:rPr>
        <w:t xml:space="preserve"> 1979</w:t>
      </w:r>
      <w:r w:rsidR="001640AF" w:rsidRPr="00511E01">
        <w:rPr>
          <w:color w:val="000000" w:themeColor="text1"/>
          <w:sz w:val="22"/>
        </w:rPr>
        <w:t>.</w:t>
      </w:r>
      <w:r w:rsidRPr="00511E01">
        <w:rPr>
          <w:color w:val="000000" w:themeColor="text1"/>
          <w:sz w:val="22"/>
        </w:rPr>
        <w:t xml:space="preserve"> Radiological safety and future land use at the Maralinga atomic weapons test range</w:t>
      </w:r>
      <w:r w:rsidR="001640AF" w:rsidRPr="00511E01">
        <w:rPr>
          <w:color w:val="000000" w:themeColor="text1"/>
          <w:sz w:val="22"/>
        </w:rPr>
        <w:t>.</w:t>
      </w:r>
      <w:r w:rsidRPr="00511E01">
        <w:rPr>
          <w:color w:val="000000" w:themeColor="text1"/>
          <w:sz w:val="22"/>
        </w:rPr>
        <w:t xml:space="preserve"> Report No. 4</w:t>
      </w:r>
      <w:r w:rsidR="001640AF" w:rsidRPr="00511E01">
        <w:rPr>
          <w:color w:val="000000" w:themeColor="text1"/>
          <w:sz w:val="22"/>
        </w:rPr>
        <w:t>.</w:t>
      </w:r>
      <w:r w:rsidRPr="00511E01">
        <w:rPr>
          <w:color w:val="000000" w:themeColor="text1"/>
          <w:sz w:val="22"/>
        </w:rPr>
        <w:t xml:space="preserve"> </w:t>
      </w:r>
      <w:r w:rsidR="004346D4" w:rsidRPr="00511E01">
        <w:rPr>
          <w:color w:val="000000" w:themeColor="text1"/>
          <w:sz w:val="22"/>
        </w:rPr>
        <w:t>Australian Government Publishing Service</w:t>
      </w:r>
      <w:r w:rsidR="001640AF" w:rsidRPr="00511E01">
        <w:rPr>
          <w:color w:val="000000" w:themeColor="text1"/>
          <w:sz w:val="22"/>
        </w:rPr>
        <w:t xml:space="preserve">, </w:t>
      </w:r>
      <w:r w:rsidRPr="00511E01">
        <w:rPr>
          <w:color w:val="000000" w:themeColor="text1"/>
          <w:sz w:val="22"/>
        </w:rPr>
        <w:t>Canberra.</w:t>
      </w:r>
    </w:p>
    <w:p w14:paraId="35CFFB4E" w14:textId="49F3EDC2" w:rsidR="00EE2D62" w:rsidRPr="00511E01" w:rsidRDefault="00EE2D62" w:rsidP="00EE2D62">
      <w:pPr>
        <w:pStyle w:val="Annalstext"/>
        <w:ind w:left="284" w:hanging="284"/>
        <w:rPr>
          <w:color w:val="000000" w:themeColor="text1"/>
          <w:sz w:val="22"/>
        </w:rPr>
      </w:pPr>
      <w:r w:rsidRPr="00511E01">
        <w:rPr>
          <w:color w:val="000000" w:themeColor="text1"/>
          <w:sz w:val="22"/>
        </w:rPr>
        <w:t>AIRAC</w:t>
      </w:r>
      <w:r w:rsidR="00CC17E9" w:rsidRPr="00511E01">
        <w:rPr>
          <w:color w:val="000000" w:themeColor="text1"/>
          <w:sz w:val="22"/>
        </w:rPr>
        <w:t xml:space="preserve">, </w:t>
      </w:r>
      <w:r w:rsidRPr="00511E01">
        <w:rPr>
          <w:color w:val="000000" w:themeColor="text1"/>
          <w:sz w:val="22"/>
        </w:rPr>
        <w:t>1983</w:t>
      </w:r>
      <w:r w:rsidR="00CC17E9" w:rsidRPr="00511E01">
        <w:rPr>
          <w:color w:val="000000" w:themeColor="text1"/>
          <w:sz w:val="22"/>
        </w:rPr>
        <w:t>.</w:t>
      </w:r>
      <w:r w:rsidRPr="00511E01">
        <w:rPr>
          <w:color w:val="000000" w:themeColor="text1"/>
          <w:sz w:val="22"/>
        </w:rPr>
        <w:t xml:space="preserve"> British nuclear tests in Australia—a review of operational safety measures and of possible after-effects</w:t>
      </w:r>
      <w:r w:rsidR="009F1381" w:rsidRPr="00511E01">
        <w:rPr>
          <w:color w:val="000000" w:themeColor="text1"/>
          <w:sz w:val="22"/>
        </w:rPr>
        <w:t>.</w:t>
      </w:r>
      <w:r w:rsidRPr="00511E01">
        <w:rPr>
          <w:color w:val="000000" w:themeColor="text1"/>
          <w:sz w:val="22"/>
        </w:rPr>
        <w:t xml:space="preserve"> Report No. 9</w:t>
      </w:r>
      <w:r w:rsidR="00CC17E9" w:rsidRPr="00511E01">
        <w:rPr>
          <w:color w:val="000000" w:themeColor="text1"/>
          <w:sz w:val="22"/>
        </w:rPr>
        <w:t>.</w:t>
      </w:r>
      <w:r w:rsidRPr="00511E01">
        <w:rPr>
          <w:color w:val="000000" w:themeColor="text1"/>
          <w:sz w:val="22"/>
        </w:rPr>
        <w:t xml:space="preserve"> </w:t>
      </w:r>
      <w:r w:rsidR="004346D4" w:rsidRPr="00511E01">
        <w:rPr>
          <w:color w:val="000000" w:themeColor="text1"/>
          <w:sz w:val="22"/>
        </w:rPr>
        <w:t>Australian Government Publishing Service</w:t>
      </w:r>
      <w:r w:rsidRPr="00511E01">
        <w:rPr>
          <w:color w:val="000000" w:themeColor="text1"/>
          <w:sz w:val="22"/>
        </w:rPr>
        <w:t>, Canberra.</w:t>
      </w:r>
    </w:p>
    <w:p w14:paraId="0F142A71" w14:textId="5AAAA268" w:rsidR="00CD07BB" w:rsidRPr="00511E01" w:rsidRDefault="00CD07BB" w:rsidP="00CD07BB">
      <w:pPr>
        <w:pStyle w:val="Annalstext"/>
        <w:ind w:left="284" w:hanging="284"/>
        <w:rPr>
          <w:color w:val="000000" w:themeColor="text1"/>
          <w:sz w:val="22"/>
        </w:rPr>
      </w:pPr>
      <w:r w:rsidRPr="00511E01">
        <w:rPr>
          <w:color w:val="000000" w:themeColor="text1"/>
          <w:sz w:val="22"/>
        </w:rPr>
        <w:t xml:space="preserve">Akleyev, A.V., Kostyuchenko, V.A., </w:t>
      </w:r>
      <w:proofErr w:type="spellStart"/>
      <w:r w:rsidRPr="00511E01">
        <w:rPr>
          <w:color w:val="000000" w:themeColor="text1"/>
          <w:sz w:val="22"/>
        </w:rPr>
        <w:t>Peremyslova</w:t>
      </w:r>
      <w:proofErr w:type="spellEnd"/>
      <w:r w:rsidRPr="00511E01">
        <w:rPr>
          <w:color w:val="000000" w:themeColor="text1"/>
          <w:sz w:val="22"/>
        </w:rPr>
        <w:t xml:space="preserve">, L.M., </w:t>
      </w:r>
      <w:proofErr w:type="spellStart"/>
      <w:r w:rsidRPr="00511E01">
        <w:rPr>
          <w:color w:val="000000" w:themeColor="text1"/>
          <w:sz w:val="22"/>
        </w:rPr>
        <w:t>Baturin</w:t>
      </w:r>
      <w:proofErr w:type="spellEnd"/>
      <w:r w:rsidRPr="00511E01">
        <w:rPr>
          <w:color w:val="000000" w:themeColor="text1"/>
          <w:sz w:val="22"/>
        </w:rPr>
        <w:t>, V.A., Popova, I.Y., 2000. Radioecological impacts of the Techa River contamination. Health Phys. 79, 36–47.</w:t>
      </w:r>
    </w:p>
    <w:p w14:paraId="4EE504C8" w14:textId="4237307D" w:rsidR="0056537A" w:rsidRPr="00511E01" w:rsidRDefault="0056537A" w:rsidP="00CD07BB">
      <w:pPr>
        <w:pStyle w:val="Annalstext"/>
        <w:ind w:left="284" w:hanging="284"/>
        <w:rPr>
          <w:color w:val="000000" w:themeColor="text1"/>
          <w:sz w:val="22"/>
        </w:rPr>
      </w:pPr>
      <w:r w:rsidRPr="00511E01">
        <w:rPr>
          <w:color w:val="000000" w:themeColor="text1"/>
          <w:sz w:val="22"/>
        </w:rPr>
        <w:t xml:space="preserve">Akleyev, A.V. (Ed.), 2016. Consequences of radioactive contamination of the Techa River. </w:t>
      </w:r>
      <w:proofErr w:type="spellStart"/>
      <w:r w:rsidRPr="00511E01">
        <w:rPr>
          <w:color w:val="000000" w:themeColor="text1"/>
          <w:sz w:val="22"/>
        </w:rPr>
        <w:t>Kniga</w:t>
      </w:r>
      <w:proofErr w:type="spellEnd"/>
      <w:r w:rsidRPr="00511E01">
        <w:rPr>
          <w:color w:val="000000" w:themeColor="text1"/>
          <w:sz w:val="22"/>
        </w:rPr>
        <w:t>, Chelyabinsk.</w:t>
      </w:r>
    </w:p>
    <w:p w14:paraId="13ACD911" w14:textId="4CB823A5" w:rsidR="00CD07BB" w:rsidRPr="00511E01" w:rsidRDefault="00CD07BB" w:rsidP="00CD07BB">
      <w:pPr>
        <w:pStyle w:val="Annalstext"/>
        <w:ind w:left="284" w:hanging="284"/>
        <w:rPr>
          <w:color w:val="000000" w:themeColor="text1"/>
          <w:sz w:val="22"/>
        </w:rPr>
      </w:pPr>
      <w:r w:rsidRPr="00511E01">
        <w:rPr>
          <w:color w:val="000000" w:themeColor="text1"/>
          <w:sz w:val="22"/>
        </w:rPr>
        <w:t xml:space="preserve">Alexakhin, R.M., </w:t>
      </w:r>
      <w:proofErr w:type="spellStart"/>
      <w:r w:rsidRPr="00511E01">
        <w:rPr>
          <w:color w:val="000000" w:themeColor="text1"/>
          <w:sz w:val="22"/>
        </w:rPr>
        <w:t>Buldakov</w:t>
      </w:r>
      <w:proofErr w:type="spellEnd"/>
      <w:r w:rsidRPr="00511E01">
        <w:rPr>
          <w:color w:val="000000" w:themeColor="text1"/>
          <w:sz w:val="22"/>
        </w:rPr>
        <w:t xml:space="preserve">, L.A., Gubanov, V.A., 2004. Large radiation accidents: Consequences and protective countermeasures. </w:t>
      </w:r>
      <w:proofErr w:type="spellStart"/>
      <w:r w:rsidRPr="00511E01">
        <w:rPr>
          <w:color w:val="000000" w:themeColor="text1"/>
          <w:sz w:val="22"/>
        </w:rPr>
        <w:t>IzdAt</w:t>
      </w:r>
      <w:proofErr w:type="spellEnd"/>
      <w:r w:rsidRPr="00511E01">
        <w:rPr>
          <w:color w:val="000000" w:themeColor="text1"/>
          <w:sz w:val="22"/>
        </w:rPr>
        <w:t xml:space="preserve"> Publisher, Moscow.</w:t>
      </w:r>
    </w:p>
    <w:p w14:paraId="06E8AC4B" w14:textId="3F1152CB" w:rsidR="00EE2D62" w:rsidRPr="00511E01" w:rsidRDefault="00EE2D62" w:rsidP="00EE2D62">
      <w:pPr>
        <w:pStyle w:val="Annalstext"/>
        <w:ind w:left="284" w:hanging="284"/>
        <w:rPr>
          <w:color w:val="000000" w:themeColor="text1"/>
          <w:sz w:val="22"/>
        </w:rPr>
      </w:pPr>
      <w:proofErr w:type="spellStart"/>
      <w:r w:rsidRPr="00511E01">
        <w:rPr>
          <w:color w:val="000000" w:themeColor="text1"/>
          <w:sz w:val="22"/>
        </w:rPr>
        <w:t>Balonov</w:t>
      </w:r>
      <w:proofErr w:type="spellEnd"/>
      <w:r w:rsidR="009F1381" w:rsidRPr="00511E01">
        <w:rPr>
          <w:color w:val="000000" w:themeColor="text1"/>
          <w:sz w:val="22"/>
        </w:rPr>
        <w:t>,</w:t>
      </w:r>
      <w:r w:rsidRPr="00511E01">
        <w:rPr>
          <w:color w:val="000000" w:themeColor="text1"/>
          <w:sz w:val="22"/>
        </w:rPr>
        <w:t xml:space="preserve"> M</w:t>
      </w:r>
      <w:r w:rsidR="009F1381" w:rsidRPr="00511E01">
        <w:rPr>
          <w:color w:val="000000" w:themeColor="text1"/>
          <w:sz w:val="22"/>
        </w:rPr>
        <w:t>.</w:t>
      </w:r>
      <w:r w:rsidRPr="00511E01">
        <w:rPr>
          <w:color w:val="000000" w:themeColor="text1"/>
          <w:sz w:val="22"/>
        </w:rPr>
        <w:t>I</w:t>
      </w:r>
      <w:r w:rsidR="009F1381" w:rsidRPr="00511E01">
        <w:rPr>
          <w:color w:val="000000" w:themeColor="text1"/>
          <w:sz w:val="22"/>
        </w:rPr>
        <w:t>.</w:t>
      </w:r>
      <w:r w:rsidRPr="00511E01">
        <w:rPr>
          <w:color w:val="000000" w:themeColor="text1"/>
          <w:sz w:val="22"/>
        </w:rPr>
        <w:t>, Bruk</w:t>
      </w:r>
      <w:r w:rsidR="009F1381" w:rsidRPr="00511E01">
        <w:rPr>
          <w:color w:val="000000" w:themeColor="text1"/>
          <w:sz w:val="22"/>
        </w:rPr>
        <w:t>,</w:t>
      </w:r>
      <w:r w:rsidRPr="00511E01">
        <w:rPr>
          <w:color w:val="000000" w:themeColor="text1"/>
          <w:sz w:val="22"/>
        </w:rPr>
        <w:t xml:space="preserve"> G</w:t>
      </w:r>
      <w:r w:rsidR="009F1381" w:rsidRPr="00511E01">
        <w:rPr>
          <w:color w:val="000000" w:themeColor="text1"/>
          <w:sz w:val="22"/>
        </w:rPr>
        <w:t>.</w:t>
      </w:r>
      <w:r w:rsidRPr="00511E01">
        <w:rPr>
          <w:color w:val="000000" w:themeColor="text1"/>
          <w:sz w:val="22"/>
        </w:rPr>
        <w:t>Y</w:t>
      </w:r>
      <w:r w:rsidR="009F1381" w:rsidRPr="00511E01">
        <w:rPr>
          <w:color w:val="000000" w:themeColor="text1"/>
          <w:sz w:val="22"/>
        </w:rPr>
        <w:t>.</w:t>
      </w:r>
      <w:r w:rsidRPr="00511E01">
        <w:rPr>
          <w:color w:val="000000" w:themeColor="text1"/>
          <w:sz w:val="22"/>
        </w:rPr>
        <w:t xml:space="preserve">, </w:t>
      </w:r>
      <w:proofErr w:type="spellStart"/>
      <w:r w:rsidRPr="00511E01">
        <w:rPr>
          <w:color w:val="000000" w:themeColor="text1"/>
          <w:sz w:val="22"/>
        </w:rPr>
        <w:t>Golikov</w:t>
      </w:r>
      <w:proofErr w:type="spellEnd"/>
      <w:r w:rsidR="009F1381" w:rsidRPr="00511E01">
        <w:rPr>
          <w:color w:val="000000" w:themeColor="text1"/>
          <w:sz w:val="22"/>
        </w:rPr>
        <w:t>,</w:t>
      </w:r>
      <w:r w:rsidRPr="00511E01">
        <w:rPr>
          <w:color w:val="000000" w:themeColor="text1"/>
          <w:sz w:val="22"/>
        </w:rPr>
        <w:t xml:space="preserve"> V</w:t>
      </w:r>
      <w:r w:rsidR="009F1381" w:rsidRPr="00511E01">
        <w:rPr>
          <w:color w:val="000000" w:themeColor="text1"/>
          <w:sz w:val="22"/>
        </w:rPr>
        <w:t>.</w:t>
      </w:r>
      <w:r w:rsidRPr="00511E01">
        <w:rPr>
          <w:color w:val="000000" w:themeColor="text1"/>
          <w:sz w:val="22"/>
        </w:rPr>
        <w:t>Y</w:t>
      </w:r>
      <w:r w:rsidR="009F1381" w:rsidRPr="00511E01">
        <w:rPr>
          <w:color w:val="000000" w:themeColor="text1"/>
          <w:sz w:val="22"/>
        </w:rPr>
        <w:t>.</w:t>
      </w:r>
      <w:r w:rsidRPr="00511E01">
        <w:rPr>
          <w:color w:val="000000" w:themeColor="text1"/>
          <w:sz w:val="22"/>
        </w:rPr>
        <w:t>,</w:t>
      </w:r>
      <w:r w:rsidR="009F1381" w:rsidRPr="00511E01">
        <w:rPr>
          <w:color w:val="000000" w:themeColor="text1"/>
          <w:sz w:val="22"/>
        </w:rPr>
        <w:t xml:space="preserve"> et al</w:t>
      </w:r>
      <w:r w:rsidRPr="00511E01">
        <w:rPr>
          <w:color w:val="000000" w:themeColor="text1"/>
          <w:sz w:val="22"/>
        </w:rPr>
        <w:t>.</w:t>
      </w:r>
      <w:r w:rsidR="009F1381" w:rsidRPr="00511E01">
        <w:rPr>
          <w:color w:val="000000" w:themeColor="text1"/>
          <w:sz w:val="22"/>
        </w:rPr>
        <w:t>, 2007.</w:t>
      </w:r>
      <w:r w:rsidRPr="00511E01">
        <w:rPr>
          <w:color w:val="000000" w:themeColor="text1"/>
          <w:sz w:val="22"/>
        </w:rPr>
        <w:t xml:space="preserve"> Assessment of current exposure of the population living in the Techa River basin from radioactive releases of the Mayak facility.  Health Phys. 92</w:t>
      </w:r>
      <w:r w:rsidR="009F1381" w:rsidRPr="00511E01">
        <w:rPr>
          <w:color w:val="000000" w:themeColor="text1"/>
          <w:sz w:val="22"/>
        </w:rPr>
        <w:t xml:space="preserve">. </w:t>
      </w:r>
      <w:r w:rsidRPr="00511E01">
        <w:rPr>
          <w:color w:val="000000" w:themeColor="text1"/>
          <w:sz w:val="22"/>
        </w:rPr>
        <w:t>134</w:t>
      </w:r>
      <w:r w:rsidR="009F1381" w:rsidRPr="00511E01">
        <w:rPr>
          <w:color w:val="000000" w:themeColor="text1"/>
          <w:sz w:val="22"/>
        </w:rPr>
        <w:t>–</w:t>
      </w:r>
      <w:r w:rsidRPr="00511E01">
        <w:rPr>
          <w:color w:val="000000" w:themeColor="text1"/>
          <w:sz w:val="22"/>
        </w:rPr>
        <w:t>147.</w:t>
      </w:r>
    </w:p>
    <w:p w14:paraId="27265B44" w14:textId="3ED02ED1" w:rsidR="00EE2D62" w:rsidRPr="00511E01" w:rsidRDefault="00EE2D62" w:rsidP="00EE2D62">
      <w:pPr>
        <w:pStyle w:val="Annalstext"/>
        <w:ind w:left="284" w:hanging="284"/>
        <w:rPr>
          <w:color w:val="000000" w:themeColor="text1"/>
          <w:sz w:val="22"/>
        </w:rPr>
      </w:pPr>
      <w:r w:rsidRPr="00511E01">
        <w:rPr>
          <w:color w:val="000000" w:themeColor="text1"/>
          <w:sz w:val="22"/>
        </w:rPr>
        <w:t>Brown, J.</w:t>
      </w:r>
      <w:r w:rsidR="009F1381" w:rsidRPr="00511E01">
        <w:rPr>
          <w:color w:val="000000" w:themeColor="text1"/>
          <w:sz w:val="22"/>
        </w:rPr>
        <w:t>,</w:t>
      </w:r>
      <w:r w:rsidRPr="00511E01">
        <w:rPr>
          <w:color w:val="000000" w:themeColor="text1"/>
          <w:sz w:val="22"/>
        </w:rPr>
        <w:t xml:space="preserve"> Oatway, W.</w:t>
      </w:r>
      <w:r w:rsidR="009F1381" w:rsidRPr="00511E01">
        <w:rPr>
          <w:color w:val="000000" w:themeColor="text1"/>
          <w:sz w:val="22"/>
        </w:rPr>
        <w:t>,</w:t>
      </w:r>
      <w:r w:rsidRPr="00511E01">
        <w:rPr>
          <w:color w:val="000000" w:themeColor="text1"/>
          <w:sz w:val="22"/>
        </w:rPr>
        <w:t xml:space="preserve"> 2012</w:t>
      </w:r>
      <w:r w:rsidR="009F1381" w:rsidRPr="00511E01">
        <w:rPr>
          <w:color w:val="000000" w:themeColor="text1"/>
          <w:sz w:val="22"/>
        </w:rPr>
        <w:t>.</w:t>
      </w:r>
      <w:r w:rsidRPr="00511E01">
        <w:rPr>
          <w:color w:val="000000" w:themeColor="text1"/>
          <w:sz w:val="22"/>
        </w:rPr>
        <w:t xml:space="preserve"> Scoping Health Risk Assessment for Beach Users at Dalgety Bay to Support Advice to Scottish Government Given in February 2012</w:t>
      </w:r>
      <w:r w:rsidR="009F1381" w:rsidRPr="00511E01">
        <w:rPr>
          <w:color w:val="000000" w:themeColor="text1"/>
          <w:sz w:val="22"/>
        </w:rPr>
        <w:t>.</w:t>
      </w:r>
      <w:r w:rsidRPr="00511E01">
        <w:rPr>
          <w:color w:val="000000" w:themeColor="text1"/>
          <w:sz w:val="22"/>
        </w:rPr>
        <w:t xml:space="preserve"> Health Protection Agency</w:t>
      </w:r>
      <w:r w:rsidR="009F1381" w:rsidRPr="00511E01">
        <w:rPr>
          <w:color w:val="000000" w:themeColor="text1"/>
          <w:sz w:val="22"/>
        </w:rPr>
        <w:t>, Health Protection Agency.</w:t>
      </w:r>
    </w:p>
    <w:p w14:paraId="05880504" w14:textId="1DD475BC" w:rsidR="00EE2D62" w:rsidRPr="00511E01" w:rsidRDefault="00EE2D62" w:rsidP="00EE2D62">
      <w:pPr>
        <w:pStyle w:val="Annalstext"/>
        <w:ind w:left="284" w:hanging="284"/>
        <w:rPr>
          <w:color w:val="000000" w:themeColor="text1"/>
          <w:sz w:val="22"/>
        </w:rPr>
      </w:pPr>
      <w:r w:rsidRPr="00511E01">
        <w:rPr>
          <w:color w:val="000000" w:themeColor="text1"/>
          <w:sz w:val="22"/>
        </w:rPr>
        <w:t>Charles, M.W.</w:t>
      </w:r>
      <w:r w:rsidR="009F1381" w:rsidRPr="00511E01">
        <w:rPr>
          <w:color w:val="000000" w:themeColor="text1"/>
          <w:sz w:val="22"/>
        </w:rPr>
        <w:t>,</w:t>
      </w:r>
      <w:r w:rsidRPr="00511E01">
        <w:rPr>
          <w:color w:val="000000" w:themeColor="text1"/>
          <w:sz w:val="22"/>
        </w:rPr>
        <w:t xml:space="preserve"> Gow, C.</w:t>
      </w:r>
      <w:r w:rsidR="009F1381" w:rsidRPr="00511E01">
        <w:rPr>
          <w:color w:val="000000" w:themeColor="text1"/>
          <w:sz w:val="22"/>
        </w:rPr>
        <w:t>,</w:t>
      </w:r>
      <w:r w:rsidRPr="00511E01">
        <w:rPr>
          <w:color w:val="000000" w:themeColor="text1"/>
          <w:sz w:val="22"/>
        </w:rPr>
        <w:t xml:space="preserve"> 2010</w:t>
      </w:r>
      <w:r w:rsidR="009F1381" w:rsidRPr="00511E01">
        <w:rPr>
          <w:color w:val="000000" w:themeColor="text1"/>
          <w:sz w:val="22"/>
        </w:rPr>
        <w:t>.</w:t>
      </w:r>
      <w:r w:rsidRPr="00511E01">
        <w:rPr>
          <w:color w:val="000000" w:themeColor="text1"/>
          <w:sz w:val="22"/>
        </w:rPr>
        <w:t xml:space="preserve"> Skin dose from Dalgety Bay Ra-226 contamination: Dose rate measurements for ten selected samples</w:t>
      </w:r>
      <w:r w:rsidR="009F1381" w:rsidRPr="00511E01">
        <w:rPr>
          <w:color w:val="000000" w:themeColor="text1"/>
          <w:sz w:val="22"/>
        </w:rPr>
        <w:t>.</w:t>
      </w:r>
      <w:r w:rsidRPr="00511E01">
        <w:rPr>
          <w:color w:val="000000" w:themeColor="text1"/>
          <w:sz w:val="22"/>
        </w:rPr>
        <w:t xml:space="preserve"> University of Birmingham</w:t>
      </w:r>
      <w:r w:rsidR="009F1381" w:rsidRPr="00511E01">
        <w:rPr>
          <w:color w:val="000000" w:themeColor="text1"/>
          <w:sz w:val="22"/>
        </w:rPr>
        <w:t>, Birmingham.</w:t>
      </w:r>
    </w:p>
    <w:p w14:paraId="4E351E9A" w14:textId="1D17690B" w:rsidR="00EE2D62" w:rsidRPr="00511E01" w:rsidRDefault="00EE2D62" w:rsidP="009F1381">
      <w:pPr>
        <w:pStyle w:val="Annalstext"/>
        <w:ind w:left="284" w:hanging="284"/>
        <w:rPr>
          <w:color w:val="000000" w:themeColor="text1"/>
          <w:sz w:val="22"/>
        </w:rPr>
      </w:pPr>
      <w:r w:rsidRPr="00511E01">
        <w:rPr>
          <w:color w:val="000000" w:themeColor="text1"/>
          <w:sz w:val="22"/>
        </w:rPr>
        <w:t>Clyne, F.J., Garrod, C.J.</w:t>
      </w:r>
      <w:r w:rsidR="009F1381" w:rsidRPr="00511E01">
        <w:rPr>
          <w:color w:val="000000" w:themeColor="text1"/>
          <w:sz w:val="22"/>
        </w:rPr>
        <w:t>,</w:t>
      </w:r>
      <w:r w:rsidRPr="00511E01">
        <w:rPr>
          <w:color w:val="000000" w:themeColor="text1"/>
          <w:sz w:val="22"/>
        </w:rPr>
        <w:t xml:space="preserve"> Ly, V.E., 2013. Radiological Habits Survey: Dalgety Bay, 2012. </w:t>
      </w:r>
      <w:r w:rsidR="009F1381" w:rsidRPr="00511E01">
        <w:rPr>
          <w:color w:val="000000" w:themeColor="text1"/>
          <w:sz w:val="22"/>
        </w:rPr>
        <w:t xml:space="preserve">Environment Report </w:t>
      </w:r>
      <w:r w:rsidRPr="00511E01">
        <w:rPr>
          <w:color w:val="000000" w:themeColor="text1"/>
          <w:sz w:val="22"/>
        </w:rPr>
        <w:t xml:space="preserve">RL 13/13. </w:t>
      </w:r>
      <w:r w:rsidR="009F1381" w:rsidRPr="00511E01">
        <w:rPr>
          <w:color w:val="000000" w:themeColor="text1"/>
          <w:sz w:val="22"/>
        </w:rPr>
        <w:t>Scottish Environment Protection Agency, Stirling.</w:t>
      </w:r>
    </w:p>
    <w:p w14:paraId="66E3E3F7" w14:textId="604427E8" w:rsidR="00EE2D62" w:rsidRPr="00511E01" w:rsidRDefault="00EE2D62" w:rsidP="00EE2D62">
      <w:pPr>
        <w:pStyle w:val="Annalstext"/>
        <w:ind w:left="284" w:hanging="284"/>
        <w:rPr>
          <w:color w:val="000000" w:themeColor="text1"/>
          <w:sz w:val="22"/>
        </w:rPr>
      </w:pPr>
      <w:r w:rsidRPr="00511E01">
        <w:rPr>
          <w:color w:val="000000" w:themeColor="text1"/>
          <w:sz w:val="22"/>
        </w:rPr>
        <w:t>COMARE</w:t>
      </w:r>
      <w:r w:rsidR="009F1381" w:rsidRPr="00511E01">
        <w:rPr>
          <w:color w:val="000000" w:themeColor="text1"/>
          <w:sz w:val="22"/>
        </w:rPr>
        <w:t>,</w:t>
      </w:r>
      <w:r w:rsidRPr="00511E01">
        <w:rPr>
          <w:color w:val="000000" w:themeColor="text1"/>
          <w:sz w:val="22"/>
        </w:rPr>
        <w:t xml:space="preserve"> 2014</w:t>
      </w:r>
      <w:r w:rsidR="009F1381" w:rsidRPr="00511E01">
        <w:rPr>
          <w:color w:val="000000" w:themeColor="text1"/>
          <w:sz w:val="22"/>
        </w:rPr>
        <w:t>.</w:t>
      </w:r>
      <w:r w:rsidR="00492803" w:rsidRPr="00511E01">
        <w:rPr>
          <w:color w:val="000000" w:themeColor="text1"/>
          <w:sz w:val="22"/>
        </w:rPr>
        <w:t xml:space="preserve"> </w:t>
      </w:r>
      <w:r w:rsidRPr="00511E01">
        <w:rPr>
          <w:color w:val="000000" w:themeColor="text1"/>
          <w:sz w:val="22"/>
        </w:rPr>
        <w:t>Committee on Medical Aspects of Radiation in the Environment: Fifteenth Report</w:t>
      </w:r>
      <w:r w:rsidR="00492803" w:rsidRPr="00511E01">
        <w:rPr>
          <w:color w:val="000000" w:themeColor="text1"/>
          <w:sz w:val="22"/>
        </w:rPr>
        <w:t xml:space="preserve"> –</w:t>
      </w:r>
      <w:r w:rsidR="009F1381" w:rsidRPr="00511E01">
        <w:rPr>
          <w:color w:val="000000" w:themeColor="text1"/>
          <w:sz w:val="22"/>
        </w:rPr>
        <w:t xml:space="preserve"> Radium contamination in the area around Dalgety Bay</w:t>
      </w:r>
      <w:r w:rsidRPr="00511E01">
        <w:rPr>
          <w:color w:val="000000" w:themeColor="text1"/>
          <w:sz w:val="22"/>
        </w:rPr>
        <w:t>.</w:t>
      </w:r>
      <w:r w:rsidR="009F1381" w:rsidRPr="00511E01">
        <w:rPr>
          <w:color w:val="000000" w:themeColor="text1"/>
          <w:sz w:val="22"/>
        </w:rPr>
        <w:t xml:space="preserve"> Committee on Medical Aspects of Radiation in the Environment, </w:t>
      </w:r>
      <w:r w:rsidR="00413F2D" w:rsidRPr="00511E01">
        <w:rPr>
          <w:color w:val="000000" w:themeColor="text1"/>
          <w:sz w:val="22"/>
        </w:rPr>
        <w:t>Chilton.</w:t>
      </w:r>
    </w:p>
    <w:p w14:paraId="19241253" w14:textId="5AF92FE3" w:rsidR="00EE2D62" w:rsidRPr="00511E01" w:rsidRDefault="00EE2D62" w:rsidP="00EE2D62">
      <w:pPr>
        <w:pStyle w:val="Annalstext"/>
        <w:ind w:left="284" w:hanging="284"/>
        <w:rPr>
          <w:color w:val="000000" w:themeColor="text1"/>
          <w:sz w:val="22"/>
        </w:rPr>
      </w:pPr>
      <w:r w:rsidRPr="00511E01">
        <w:rPr>
          <w:color w:val="000000" w:themeColor="text1"/>
          <w:sz w:val="22"/>
        </w:rPr>
        <w:t>Dale, P.</w:t>
      </w:r>
      <w:r w:rsidR="008054B4" w:rsidRPr="00511E01">
        <w:rPr>
          <w:color w:val="000000" w:themeColor="text1"/>
          <w:sz w:val="22"/>
        </w:rPr>
        <w:t>,</w:t>
      </w:r>
      <w:r w:rsidRPr="00511E01">
        <w:rPr>
          <w:color w:val="000000" w:themeColor="text1"/>
          <w:sz w:val="22"/>
        </w:rPr>
        <w:t xml:space="preserve"> 2013</w:t>
      </w:r>
      <w:r w:rsidR="008054B4" w:rsidRPr="00511E01">
        <w:rPr>
          <w:color w:val="000000" w:themeColor="text1"/>
          <w:sz w:val="22"/>
        </w:rPr>
        <w:t>.</w:t>
      </w:r>
      <w:r w:rsidRPr="00511E01">
        <w:rPr>
          <w:color w:val="000000" w:themeColor="text1"/>
          <w:sz w:val="22"/>
        </w:rPr>
        <w:t xml:space="preserve"> Dalgety Bay Radioactive Contaminated Land Risk Assessment</w:t>
      </w:r>
      <w:r w:rsidR="008054B4" w:rsidRPr="00511E01">
        <w:rPr>
          <w:color w:val="000000" w:themeColor="text1"/>
          <w:sz w:val="22"/>
        </w:rPr>
        <w:t>.</w:t>
      </w:r>
      <w:r w:rsidRPr="00511E01">
        <w:rPr>
          <w:color w:val="000000" w:themeColor="text1"/>
          <w:sz w:val="22"/>
        </w:rPr>
        <w:t xml:space="preserve"> Scottish Environment Protection Agency</w:t>
      </w:r>
      <w:r w:rsidR="008054B4" w:rsidRPr="00511E01">
        <w:rPr>
          <w:color w:val="000000" w:themeColor="text1"/>
          <w:sz w:val="22"/>
        </w:rPr>
        <w:t>, Stirling.</w:t>
      </w:r>
    </w:p>
    <w:p w14:paraId="17DFCC80" w14:textId="1BA2485A" w:rsidR="00EE2D62" w:rsidRPr="00511E01" w:rsidRDefault="00EE2D62" w:rsidP="00EE2D62">
      <w:pPr>
        <w:pStyle w:val="Annalstext"/>
        <w:ind w:left="284" w:hanging="284"/>
        <w:rPr>
          <w:color w:val="000000" w:themeColor="text1"/>
          <w:sz w:val="22"/>
        </w:rPr>
      </w:pPr>
      <w:r w:rsidRPr="00511E01">
        <w:rPr>
          <w:color w:val="000000" w:themeColor="text1"/>
          <w:sz w:val="22"/>
        </w:rPr>
        <w:t>Degteva</w:t>
      </w:r>
      <w:r w:rsidR="008D4BE0" w:rsidRPr="00511E01">
        <w:rPr>
          <w:color w:val="000000" w:themeColor="text1"/>
          <w:sz w:val="22"/>
        </w:rPr>
        <w:t>,</w:t>
      </w:r>
      <w:r w:rsidRPr="00511E01">
        <w:rPr>
          <w:color w:val="000000" w:themeColor="text1"/>
          <w:sz w:val="22"/>
        </w:rPr>
        <w:t xml:space="preserve"> M</w:t>
      </w:r>
      <w:r w:rsidR="008D4BE0" w:rsidRPr="00511E01">
        <w:rPr>
          <w:color w:val="000000" w:themeColor="text1"/>
          <w:sz w:val="22"/>
        </w:rPr>
        <w:t>.</w:t>
      </w:r>
      <w:r w:rsidRPr="00511E01">
        <w:rPr>
          <w:color w:val="000000" w:themeColor="text1"/>
          <w:sz w:val="22"/>
        </w:rPr>
        <w:t>O</w:t>
      </w:r>
      <w:r w:rsidR="008D4BE0" w:rsidRPr="00511E01">
        <w:rPr>
          <w:color w:val="000000" w:themeColor="text1"/>
          <w:sz w:val="22"/>
        </w:rPr>
        <w:t>.</w:t>
      </w:r>
      <w:r w:rsidRPr="00511E01">
        <w:rPr>
          <w:color w:val="000000" w:themeColor="text1"/>
          <w:sz w:val="22"/>
        </w:rPr>
        <w:t xml:space="preserve">, </w:t>
      </w:r>
      <w:proofErr w:type="spellStart"/>
      <w:r w:rsidRPr="00511E01">
        <w:rPr>
          <w:color w:val="000000" w:themeColor="text1"/>
          <w:sz w:val="22"/>
        </w:rPr>
        <w:t>Shagina</w:t>
      </w:r>
      <w:proofErr w:type="spellEnd"/>
      <w:r w:rsidR="008D4BE0" w:rsidRPr="00511E01">
        <w:rPr>
          <w:color w:val="000000" w:themeColor="text1"/>
          <w:sz w:val="22"/>
        </w:rPr>
        <w:t>,</w:t>
      </w:r>
      <w:r w:rsidRPr="00511E01">
        <w:rPr>
          <w:color w:val="000000" w:themeColor="text1"/>
          <w:sz w:val="22"/>
        </w:rPr>
        <w:t xml:space="preserve"> N</w:t>
      </w:r>
      <w:r w:rsidR="008D4BE0" w:rsidRPr="00511E01">
        <w:rPr>
          <w:color w:val="000000" w:themeColor="text1"/>
          <w:sz w:val="22"/>
        </w:rPr>
        <w:t>.</w:t>
      </w:r>
      <w:r w:rsidRPr="00511E01">
        <w:rPr>
          <w:color w:val="000000" w:themeColor="text1"/>
          <w:sz w:val="22"/>
        </w:rPr>
        <w:t>B</w:t>
      </w:r>
      <w:r w:rsidR="008D4BE0" w:rsidRPr="00511E01">
        <w:rPr>
          <w:color w:val="000000" w:themeColor="text1"/>
          <w:sz w:val="22"/>
        </w:rPr>
        <w:t>.</w:t>
      </w:r>
      <w:r w:rsidRPr="00511E01">
        <w:rPr>
          <w:color w:val="000000" w:themeColor="text1"/>
          <w:sz w:val="22"/>
        </w:rPr>
        <w:t xml:space="preserve">, </w:t>
      </w:r>
      <w:proofErr w:type="spellStart"/>
      <w:r w:rsidRPr="00511E01">
        <w:rPr>
          <w:color w:val="000000" w:themeColor="text1"/>
          <w:sz w:val="22"/>
        </w:rPr>
        <w:t>Vorobiova</w:t>
      </w:r>
      <w:proofErr w:type="spellEnd"/>
      <w:r w:rsidR="008D4BE0" w:rsidRPr="00511E01">
        <w:rPr>
          <w:color w:val="000000" w:themeColor="text1"/>
          <w:sz w:val="22"/>
        </w:rPr>
        <w:t>,</w:t>
      </w:r>
      <w:r w:rsidRPr="00511E01">
        <w:rPr>
          <w:color w:val="000000" w:themeColor="text1"/>
          <w:sz w:val="22"/>
        </w:rPr>
        <w:t xml:space="preserve"> M</w:t>
      </w:r>
      <w:r w:rsidR="008D4BE0" w:rsidRPr="00511E01">
        <w:rPr>
          <w:color w:val="000000" w:themeColor="text1"/>
          <w:sz w:val="22"/>
        </w:rPr>
        <w:t>.</w:t>
      </w:r>
      <w:r w:rsidRPr="00511E01">
        <w:rPr>
          <w:color w:val="000000" w:themeColor="text1"/>
          <w:sz w:val="22"/>
        </w:rPr>
        <w:t>I</w:t>
      </w:r>
      <w:r w:rsidR="008D4BE0" w:rsidRPr="00511E01">
        <w:rPr>
          <w:color w:val="000000" w:themeColor="text1"/>
          <w:sz w:val="22"/>
        </w:rPr>
        <w:t>.</w:t>
      </w:r>
      <w:r w:rsidRPr="00511E01">
        <w:rPr>
          <w:color w:val="000000" w:themeColor="text1"/>
          <w:sz w:val="22"/>
        </w:rPr>
        <w:t>, Shishkina</w:t>
      </w:r>
      <w:r w:rsidR="008D4BE0" w:rsidRPr="00511E01">
        <w:rPr>
          <w:color w:val="000000" w:themeColor="text1"/>
          <w:sz w:val="22"/>
        </w:rPr>
        <w:t>,</w:t>
      </w:r>
      <w:r w:rsidRPr="00511E01">
        <w:rPr>
          <w:color w:val="000000" w:themeColor="text1"/>
          <w:sz w:val="22"/>
        </w:rPr>
        <w:t xml:space="preserve"> E</w:t>
      </w:r>
      <w:r w:rsidR="008D4BE0" w:rsidRPr="00511E01">
        <w:rPr>
          <w:color w:val="000000" w:themeColor="text1"/>
          <w:sz w:val="22"/>
        </w:rPr>
        <w:t>.</w:t>
      </w:r>
      <w:r w:rsidRPr="00511E01">
        <w:rPr>
          <w:color w:val="000000" w:themeColor="text1"/>
          <w:sz w:val="22"/>
        </w:rPr>
        <w:t>A</w:t>
      </w:r>
      <w:r w:rsidR="008D4BE0" w:rsidRPr="00511E01">
        <w:rPr>
          <w:color w:val="000000" w:themeColor="text1"/>
          <w:sz w:val="22"/>
        </w:rPr>
        <w:t>.</w:t>
      </w:r>
      <w:r w:rsidRPr="00511E01">
        <w:rPr>
          <w:color w:val="000000" w:themeColor="text1"/>
          <w:sz w:val="22"/>
        </w:rPr>
        <w:t xml:space="preserve">, </w:t>
      </w:r>
      <w:proofErr w:type="spellStart"/>
      <w:r w:rsidRPr="00511E01">
        <w:rPr>
          <w:color w:val="000000" w:themeColor="text1"/>
          <w:sz w:val="22"/>
        </w:rPr>
        <w:t>Tolstykh</w:t>
      </w:r>
      <w:proofErr w:type="spellEnd"/>
      <w:r w:rsidR="008D4BE0" w:rsidRPr="00511E01">
        <w:rPr>
          <w:color w:val="000000" w:themeColor="text1"/>
          <w:sz w:val="22"/>
        </w:rPr>
        <w:t>,</w:t>
      </w:r>
      <w:r w:rsidRPr="00511E01">
        <w:rPr>
          <w:color w:val="000000" w:themeColor="text1"/>
          <w:sz w:val="22"/>
        </w:rPr>
        <w:t xml:space="preserve"> E</w:t>
      </w:r>
      <w:r w:rsidR="008D4BE0" w:rsidRPr="00511E01">
        <w:rPr>
          <w:color w:val="000000" w:themeColor="text1"/>
          <w:sz w:val="22"/>
        </w:rPr>
        <w:t>.</w:t>
      </w:r>
      <w:r w:rsidRPr="00511E01">
        <w:rPr>
          <w:color w:val="000000" w:themeColor="text1"/>
          <w:sz w:val="22"/>
        </w:rPr>
        <w:t>I</w:t>
      </w:r>
      <w:r w:rsidR="008D4BE0" w:rsidRPr="00511E01">
        <w:rPr>
          <w:color w:val="000000" w:themeColor="text1"/>
          <w:sz w:val="22"/>
        </w:rPr>
        <w:t>.</w:t>
      </w:r>
      <w:r w:rsidRPr="00511E01">
        <w:rPr>
          <w:color w:val="000000" w:themeColor="text1"/>
          <w:sz w:val="22"/>
        </w:rPr>
        <w:t>, Akleyev</w:t>
      </w:r>
      <w:r w:rsidR="008D4BE0" w:rsidRPr="00511E01">
        <w:rPr>
          <w:color w:val="000000" w:themeColor="text1"/>
          <w:sz w:val="22"/>
        </w:rPr>
        <w:t>,</w:t>
      </w:r>
      <w:r w:rsidRPr="00511E01">
        <w:rPr>
          <w:color w:val="000000" w:themeColor="text1"/>
          <w:sz w:val="22"/>
        </w:rPr>
        <w:t xml:space="preserve"> A</w:t>
      </w:r>
      <w:r w:rsidR="008D4BE0" w:rsidRPr="00511E01">
        <w:rPr>
          <w:color w:val="000000" w:themeColor="text1"/>
          <w:sz w:val="22"/>
        </w:rPr>
        <w:t>.</w:t>
      </w:r>
      <w:r w:rsidRPr="00511E01">
        <w:rPr>
          <w:color w:val="000000" w:themeColor="text1"/>
          <w:sz w:val="22"/>
        </w:rPr>
        <w:t>V.</w:t>
      </w:r>
      <w:r w:rsidR="008D4BE0" w:rsidRPr="00511E01">
        <w:rPr>
          <w:color w:val="000000" w:themeColor="text1"/>
          <w:sz w:val="22"/>
        </w:rPr>
        <w:t>,</w:t>
      </w:r>
      <w:r w:rsidRPr="00511E01">
        <w:rPr>
          <w:color w:val="000000" w:themeColor="text1"/>
          <w:sz w:val="22"/>
        </w:rPr>
        <w:t xml:space="preserve"> </w:t>
      </w:r>
      <w:r w:rsidR="008D4BE0" w:rsidRPr="00511E01">
        <w:rPr>
          <w:color w:val="000000" w:themeColor="text1"/>
          <w:sz w:val="22"/>
        </w:rPr>
        <w:t xml:space="preserve">2016. </w:t>
      </w:r>
      <w:r w:rsidRPr="00511E01">
        <w:rPr>
          <w:color w:val="000000" w:themeColor="text1"/>
          <w:sz w:val="22"/>
        </w:rPr>
        <w:t>Contemporary understanding of radioactive contamination of the Techa River in 1949-1956. Radiat</w:t>
      </w:r>
      <w:r w:rsidR="008D4BE0" w:rsidRPr="00511E01">
        <w:rPr>
          <w:color w:val="000000" w:themeColor="text1"/>
          <w:sz w:val="22"/>
        </w:rPr>
        <w:t>.</w:t>
      </w:r>
      <w:r w:rsidRPr="00511E01">
        <w:rPr>
          <w:color w:val="000000" w:themeColor="text1"/>
          <w:sz w:val="22"/>
        </w:rPr>
        <w:t xml:space="preserve"> </w:t>
      </w:r>
      <w:r w:rsidR="008B6EF7" w:rsidRPr="00511E01">
        <w:rPr>
          <w:color w:val="000000" w:themeColor="text1"/>
          <w:sz w:val="22"/>
        </w:rPr>
        <w:t xml:space="preserve">Biol. </w:t>
      </w:r>
      <w:proofErr w:type="spellStart"/>
      <w:r w:rsidRPr="00511E01">
        <w:rPr>
          <w:color w:val="000000" w:themeColor="text1"/>
          <w:sz w:val="22"/>
        </w:rPr>
        <w:t>Radioecol</w:t>
      </w:r>
      <w:proofErr w:type="spellEnd"/>
      <w:r w:rsidR="008D4BE0" w:rsidRPr="00511E01">
        <w:rPr>
          <w:color w:val="000000" w:themeColor="text1"/>
          <w:sz w:val="22"/>
        </w:rPr>
        <w:t>.</w:t>
      </w:r>
      <w:r w:rsidRPr="00511E01">
        <w:rPr>
          <w:color w:val="000000" w:themeColor="text1"/>
          <w:sz w:val="22"/>
        </w:rPr>
        <w:t xml:space="preserve"> 56</w:t>
      </w:r>
      <w:r w:rsidR="008D4BE0" w:rsidRPr="00511E01">
        <w:rPr>
          <w:color w:val="000000" w:themeColor="text1"/>
          <w:sz w:val="22"/>
        </w:rPr>
        <w:t xml:space="preserve">, </w:t>
      </w:r>
      <w:r w:rsidRPr="00511E01">
        <w:rPr>
          <w:color w:val="000000" w:themeColor="text1"/>
          <w:sz w:val="22"/>
        </w:rPr>
        <w:t>523</w:t>
      </w:r>
      <w:r w:rsidR="008D4BE0" w:rsidRPr="00511E01">
        <w:rPr>
          <w:color w:val="000000" w:themeColor="text1"/>
          <w:sz w:val="22"/>
        </w:rPr>
        <w:t>–</w:t>
      </w:r>
      <w:r w:rsidRPr="00511E01">
        <w:rPr>
          <w:color w:val="000000" w:themeColor="text1"/>
          <w:sz w:val="22"/>
        </w:rPr>
        <w:t>534.</w:t>
      </w:r>
    </w:p>
    <w:p w14:paraId="7FB515E0" w14:textId="246638F0" w:rsidR="00EE2D62" w:rsidRPr="00511E01" w:rsidRDefault="00EE2D62" w:rsidP="00EE2D62">
      <w:pPr>
        <w:pStyle w:val="Annalstext"/>
        <w:ind w:left="284" w:hanging="284"/>
        <w:rPr>
          <w:color w:val="000000" w:themeColor="text1"/>
          <w:sz w:val="22"/>
        </w:rPr>
      </w:pPr>
      <w:r w:rsidRPr="00511E01">
        <w:rPr>
          <w:color w:val="000000" w:themeColor="text1"/>
          <w:sz w:val="22"/>
        </w:rPr>
        <w:t>Degteva</w:t>
      </w:r>
      <w:r w:rsidR="00F225A1" w:rsidRPr="00511E01">
        <w:rPr>
          <w:color w:val="000000" w:themeColor="text1"/>
          <w:sz w:val="22"/>
        </w:rPr>
        <w:t>,</w:t>
      </w:r>
      <w:r w:rsidRPr="00511E01">
        <w:rPr>
          <w:color w:val="000000" w:themeColor="text1"/>
          <w:sz w:val="22"/>
        </w:rPr>
        <w:t xml:space="preserve"> M</w:t>
      </w:r>
      <w:r w:rsidR="00F225A1" w:rsidRPr="00511E01">
        <w:rPr>
          <w:color w:val="000000" w:themeColor="text1"/>
          <w:sz w:val="22"/>
        </w:rPr>
        <w:t>.</w:t>
      </w:r>
      <w:r w:rsidRPr="00511E01">
        <w:rPr>
          <w:color w:val="000000" w:themeColor="text1"/>
          <w:sz w:val="22"/>
        </w:rPr>
        <w:t>O</w:t>
      </w:r>
      <w:r w:rsidR="00F225A1" w:rsidRPr="00511E01">
        <w:rPr>
          <w:color w:val="000000" w:themeColor="text1"/>
          <w:sz w:val="22"/>
        </w:rPr>
        <w:t>.</w:t>
      </w:r>
      <w:r w:rsidRPr="00511E01">
        <w:rPr>
          <w:color w:val="000000" w:themeColor="text1"/>
          <w:sz w:val="22"/>
        </w:rPr>
        <w:t>, Napier</w:t>
      </w:r>
      <w:r w:rsidR="00F225A1" w:rsidRPr="00511E01">
        <w:rPr>
          <w:color w:val="000000" w:themeColor="text1"/>
          <w:sz w:val="22"/>
        </w:rPr>
        <w:t>,</w:t>
      </w:r>
      <w:r w:rsidRPr="00511E01">
        <w:rPr>
          <w:color w:val="000000" w:themeColor="text1"/>
          <w:sz w:val="22"/>
        </w:rPr>
        <w:t xml:space="preserve"> B</w:t>
      </w:r>
      <w:r w:rsidR="00F225A1" w:rsidRPr="00511E01">
        <w:rPr>
          <w:color w:val="000000" w:themeColor="text1"/>
          <w:sz w:val="22"/>
        </w:rPr>
        <w:t>.</w:t>
      </w:r>
      <w:r w:rsidRPr="00511E01">
        <w:rPr>
          <w:color w:val="000000" w:themeColor="text1"/>
          <w:sz w:val="22"/>
        </w:rPr>
        <w:t>A</w:t>
      </w:r>
      <w:r w:rsidR="00F225A1" w:rsidRPr="00511E01">
        <w:rPr>
          <w:color w:val="000000" w:themeColor="text1"/>
          <w:sz w:val="22"/>
        </w:rPr>
        <w:t>.</w:t>
      </w:r>
      <w:r w:rsidRPr="00511E01">
        <w:rPr>
          <w:color w:val="000000" w:themeColor="text1"/>
          <w:sz w:val="22"/>
        </w:rPr>
        <w:t xml:space="preserve">, </w:t>
      </w:r>
      <w:proofErr w:type="spellStart"/>
      <w:r w:rsidRPr="00511E01">
        <w:rPr>
          <w:color w:val="000000" w:themeColor="text1"/>
          <w:sz w:val="22"/>
        </w:rPr>
        <w:t>Tolstykh</w:t>
      </w:r>
      <w:proofErr w:type="spellEnd"/>
      <w:r w:rsidR="00F225A1" w:rsidRPr="00511E01">
        <w:rPr>
          <w:color w:val="000000" w:themeColor="text1"/>
          <w:sz w:val="22"/>
        </w:rPr>
        <w:t>,</w:t>
      </w:r>
      <w:r w:rsidRPr="00511E01">
        <w:rPr>
          <w:color w:val="000000" w:themeColor="text1"/>
          <w:sz w:val="22"/>
        </w:rPr>
        <w:t xml:space="preserve"> E</w:t>
      </w:r>
      <w:r w:rsidR="00F225A1" w:rsidRPr="00511E01">
        <w:rPr>
          <w:color w:val="000000" w:themeColor="text1"/>
          <w:sz w:val="22"/>
        </w:rPr>
        <w:t>.</w:t>
      </w:r>
      <w:r w:rsidRPr="00511E01">
        <w:rPr>
          <w:color w:val="000000" w:themeColor="text1"/>
          <w:sz w:val="22"/>
        </w:rPr>
        <w:t>I</w:t>
      </w:r>
      <w:r w:rsidR="00F225A1" w:rsidRPr="00511E01">
        <w:rPr>
          <w:color w:val="000000" w:themeColor="text1"/>
          <w:sz w:val="22"/>
        </w:rPr>
        <w:t>.</w:t>
      </w:r>
      <w:r w:rsidRPr="00511E01">
        <w:rPr>
          <w:color w:val="000000" w:themeColor="text1"/>
          <w:sz w:val="22"/>
        </w:rPr>
        <w:t>,</w:t>
      </w:r>
      <w:r w:rsidR="00F225A1" w:rsidRPr="00511E01">
        <w:rPr>
          <w:color w:val="000000" w:themeColor="text1"/>
          <w:sz w:val="22"/>
        </w:rPr>
        <w:t xml:space="preserve"> 2019</w:t>
      </w:r>
      <w:r w:rsidRPr="00511E01">
        <w:rPr>
          <w:color w:val="000000" w:themeColor="text1"/>
          <w:sz w:val="22"/>
        </w:rPr>
        <w:t>. Enhancements in the Techa River Dosimetry System: TRDS-2016D code for reconstruction of deterministic estimates of dose from environmental exposures</w:t>
      </w:r>
      <w:r w:rsidR="00F225A1" w:rsidRPr="00511E01">
        <w:rPr>
          <w:color w:val="000000" w:themeColor="text1"/>
          <w:sz w:val="22"/>
        </w:rPr>
        <w:t>.</w:t>
      </w:r>
      <w:r w:rsidRPr="00511E01">
        <w:rPr>
          <w:color w:val="000000" w:themeColor="text1"/>
          <w:sz w:val="22"/>
        </w:rPr>
        <w:t xml:space="preserve"> Health Phys. 117</w:t>
      </w:r>
      <w:r w:rsidR="00F225A1" w:rsidRPr="00511E01">
        <w:rPr>
          <w:color w:val="000000" w:themeColor="text1"/>
          <w:sz w:val="22"/>
        </w:rPr>
        <w:t xml:space="preserve">, </w:t>
      </w:r>
      <w:r w:rsidRPr="00511E01">
        <w:rPr>
          <w:color w:val="000000" w:themeColor="text1"/>
          <w:sz w:val="22"/>
        </w:rPr>
        <w:t>378</w:t>
      </w:r>
      <w:r w:rsidR="00F225A1" w:rsidRPr="00511E01">
        <w:rPr>
          <w:color w:val="000000" w:themeColor="text1"/>
          <w:sz w:val="22"/>
        </w:rPr>
        <w:t>–</w:t>
      </w:r>
      <w:r w:rsidRPr="00511E01">
        <w:rPr>
          <w:color w:val="000000" w:themeColor="text1"/>
          <w:sz w:val="22"/>
        </w:rPr>
        <w:t>387.</w:t>
      </w:r>
    </w:p>
    <w:p w14:paraId="6115283C" w14:textId="00A307B0" w:rsidR="00EE2D62" w:rsidRPr="00511E01" w:rsidRDefault="00EE2D62" w:rsidP="00EE2D62">
      <w:pPr>
        <w:pStyle w:val="Annalstext"/>
        <w:ind w:left="284" w:hanging="284"/>
        <w:rPr>
          <w:color w:val="000000" w:themeColor="text1"/>
          <w:sz w:val="22"/>
        </w:rPr>
      </w:pPr>
      <w:r w:rsidRPr="00511E01">
        <w:rPr>
          <w:color w:val="000000" w:themeColor="text1"/>
          <w:sz w:val="22"/>
        </w:rPr>
        <w:t>DOE/EPA/CDPHE</w:t>
      </w:r>
      <w:r w:rsidR="00F225A1" w:rsidRPr="00511E01">
        <w:rPr>
          <w:color w:val="000000" w:themeColor="text1"/>
          <w:sz w:val="22"/>
        </w:rPr>
        <w:t xml:space="preserve">, </w:t>
      </w:r>
      <w:r w:rsidRPr="00511E01">
        <w:rPr>
          <w:color w:val="000000" w:themeColor="text1"/>
          <w:sz w:val="22"/>
        </w:rPr>
        <w:t xml:space="preserve">1996. Action Levels for Radionuclides in Soils for the Rocky Flats Cleanup Agreement. </w:t>
      </w:r>
      <w:r w:rsidR="00F225A1" w:rsidRPr="00511E01">
        <w:rPr>
          <w:color w:val="000000" w:themeColor="text1"/>
          <w:sz w:val="22"/>
        </w:rPr>
        <w:t>U.S. Department of Energy, Washington, DC, U.S. Environmental Protection Agency, Washington, DC, and Colorado Department of Public Health and the Environment, South Denver, CO.</w:t>
      </w:r>
    </w:p>
    <w:p w14:paraId="03B57B5D" w14:textId="138D7B66" w:rsidR="00EE2D62" w:rsidRPr="00511E01" w:rsidRDefault="00EE2D62" w:rsidP="00EE2D62">
      <w:pPr>
        <w:pStyle w:val="Annalstext"/>
        <w:ind w:left="284" w:hanging="284"/>
        <w:rPr>
          <w:color w:val="000000" w:themeColor="text1"/>
          <w:sz w:val="22"/>
        </w:rPr>
      </w:pPr>
      <w:r w:rsidRPr="00511E01">
        <w:rPr>
          <w:color w:val="000000" w:themeColor="text1"/>
          <w:sz w:val="22"/>
        </w:rPr>
        <w:t>EG&amp;G</w:t>
      </w:r>
      <w:r w:rsidR="00AB7E88" w:rsidRPr="00511E01">
        <w:rPr>
          <w:color w:val="000000" w:themeColor="text1"/>
          <w:sz w:val="22"/>
        </w:rPr>
        <w:t>,</w:t>
      </w:r>
      <w:r w:rsidRPr="00511E01">
        <w:rPr>
          <w:color w:val="000000" w:themeColor="text1"/>
          <w:sz w:val="22"/>
        </w:rPr>
        <w:t xml:space="preserve"> 1991, Energy Measurements: An aerial radiological survey of Maralinga and Emu, South Australia</w:t>
      </w:r>
      <w:r w:rsidR="00AB7E88" w:rsidRPr="00511E01">
        <w:rPr>
          <w:color w:val="000000" w:themeColor="text1"/>
          <w:sz w:val="22"/>
        </w:rPr>
        <w:t>.</w:t>
      </w:r>
      <w:r w:rsidRPr="00511E01">
        <w:rPr>
          <w:color w:val="000000" w:themeColor="text1"/>
          <w:sz w:val="22"/>
        </w:rPr>
        <w:t xml:space="preserve"> Technical Assessment Group Study Program Reports, vol. 1</w:t>
      </w:r>
      <w:r w:rsidR="00AB7E88" w:rsidRPr="00511E01">
        <w:rPr>
          <w:color w:val="000000" w:themeColor="text1"/>
          <w:sz w:val="22"/>
        </w:rPr>
        <w:t>.</w:t>
      </w:r>
      <w:r w:rsidRPr="00511E01">
        <w:rPr>
          <w:color w:val="000000" w:themeColor="text1"/>
          <w:sz w:val="22"/>
        </w:rPr>
        <w:t xml:space="preserve"> </w:t>
      </w:r>
      <w:r w:rsidR="004346D4" w:rsidRPr="00511E01">
        <w:rPr>
          <w:color w:val="000000" w:themeColor="text1"/>
          <w:sz w:val="22"/>
        </w:rPr>
        <w:t>Australian Government Publishing Service</w:t>
      </w:r>
      <w:r w:rsidRPr="00511E01">
        <w:rPr>
          <w:color w:val="000000" w:themeColor="text1"/>
          <w:sz w:val="22"/>
        </w:rPr>
        <w:t>, Canberra.</w:t>
      </w:r>
    </w:p>
    <w:p w14:paraId="346EA2BF" w14:textId="77777777" w:rsidR="00CF540B" w:rsidRPr="00511E01" w:rsidRDefault="00CF540B" w:rsidP="00CF540B">
      <w:pPr>
        <w:pStyle w:val="ICRPrefs"/>
      </w:pPr>
      <w:r w:rsidRPr="00511E01">
        <w:t>ICRP, 2007. The 2007 Recommendations of the International Commission on Radiological Protection. ICRP Publication 103. Ann. ICRP 37(2–4).</w:t>
      </w:r>
    </w:p>
    <w:p w14:paraId="644A5209" w14:textId="2EDA8F9E" w:rsidR="00EE2D62" w:rsidRPr="00511E01" w:rsidRDefault="00EE2D62" w:rsidP="00EE2D62">
      <w:pPr>
        <w:pStyle w:val="Annalstext"/>
        <w:ind w:left="284" w:hanging="284"/>
        <w:rPr>
          <w:color w:val="000000" w:themeColor="text1"/>
          <w:sz w:val="22"/>
        </w:rPr>
      </w:pPr>
      <w:r w:rsidRPr="00511E01">
        <w:rPr>
          <w:color w:val="000000" w:themeColor="text1"/>
          <w:sz w:val="22"/>
        </w:rPr>
        <w:t>Johnson, P.N., Lokan, K.L., Richardson, C.K.</w:t>
      </w:r>
      <w:r w:rsidR="00806B4A" w:rsidRPr="00511E01">
        <w:rPr>
          <w:color w:val="000000" w:themeColor="text1"/>
          <w:sz w:val="22"/>
        </w:rPr>
        <w:t>,</w:t>
      </w:r>
      <w:r w:rsidRPr="00511E01">
        <w:rPr>
          <w:color w:val="000000" w:themeColor="text1"/>
          <w:sz w:val="22"/>
        </w:rPr>
        <w:t xml:space="preserve"> Williams, G.A., 1985</w:t>
      </w:r>
      <w:r w:rsidR="00806B4A" w:rsidRPr="00511E01">
        <w:rPr>
          <w:color w:val="000000" w:themeColor="text1"/>
          <w:sz w:val="22"/>
        </w:rPr>
        <w:t>.</w:t>
      </w:r>
      <w:r w:rsidRPr="00511E01">
        <w:rPr>
          <w:color w:val="000000" w:themeColor="text1"/>
          <w:sz w:val="22"/>
        </w:rPr>
        <w:t xml:space="preserve"> Plutonium contamination in the Maralinga </w:t>
      </w:r>
      <w:proofErr w:type="spellStart"/>
      <w:r w:rsidRPr="00511E01">
        <w:rPr>
          <w:color w:val="000000" w:themeColor="text1"/>
          <w:sz w:val="22"/>
        </w:rPr>
        <w:t>Tjarutja</w:t>
      </w:r>
      <w:proofErr w:type="spellEnd"/>
      <w:r w:rsidRPr="00511E01">
        <w:rPr>
          <w:color w:val="000000" w:themeColor="text1"/>
          <w:sz w:val="22"/>
        </w:rPr>
        <w:t xml:space="preserve"> Lands</w:t>
      </w:r>
      <w:r w:rsidR="00806B4A" w:rsidRPr="00511E01">
        <w:rPr>
          <w:color w:val="000000" w:themeColor="text1"/>
          <w:sz w:val="22"/>
        </w:rPr>
        <w:t>.</w:t>
      </w:r>
      <w:r w:rsidRPr="00511E01">
        <w:rPr>
          <w:color w:val="000000" w:themeColor="text1"/>
          <w:sz w:val="22"/>
        </w:rPr>
        <w:t xml:space="preserve"> Report ARL/TR085</w:t>
      </w:r>
      <w:r w:rsidR="00806B4A" w:rsidRPr="00511E01">
        <w:rPr>
          <w:color w:val="000000" w:themeColor="text1"/>
          <w:sz w:val="22"/>
        </w:rPr>
        <w:t>.</w:t>
      </w:r>
      <w:r w:rsidRPr="00511E01">
        <w:rPr>
          <w:color w:val="000000" w:themeColor="text1"/>
          <w:sz w:val="22"/>
        </w:rPr>
        <w:t xml:space="preserve"> Australian Radiation Laboratory</w:t>
      </w:r>
      <w:r w:rsidR="00806B4A" w:rsidRPr="00511E01">
        <w:rPr>
          <w:color w:val="000000" w:themeColor="text1"/>
          <w:sz w:val="22"/>
        </w:rPr>
        <w:t xml:space="preserve">, </w:t>
      </w:r>
      <w:proofErr w:type="spellStart"/>
      <w:r w:rsidR="00806B4A" w:rsidRPr="00511E01">
        <w:rPr>
          <w:color w:val="000000" w:themeColor="text1"/>
          <w:sz w:val="22"/>
        </w:rPr>
        <w:t>Yallambie</w:t>
      </w:r>
      <w:proofErr w:type="spellEnd"/>
      <w:r w:rsidRPr="00511E01">
        <w:rPr>
          <w:color w:val="000000" w:themeColor="text1"/>
          <w:sz w:val="22"/>
        </w:rPr>
        <w:t>.</w:t>
      </w:r>
    </w:p>
    <w:p w14:paraId="123A0667" w14:textId="504916AC" w:rsidR="00EE2D62" w:rsidRPr="00511E01" w:rsidRDefault="00EE2D62" w:rsidP="00EE2D62">
      <w:pPr>
        <w:pStyle w:val="Annalstext"/>
        <w:ind w:left="284" w:hanging="284"/>
        <w:rPr>
          <w:color w:val="000000" w:themeColor="text1"/>
          <w:sz w:val="22"/>
        </w:rPr>
      </w:pPr>
      <w:r w:rsidRPr="00511E01">
        <w:rPr>
          <w:color w:val="000000" w:themeColor="text1"/>
          <w:sz w:val="22"/>
        </w:rPr>
        <w:t xml:space="preserve">Lemberg, V.K., </w:t>
      </w:r>
      <w:proofErr w:type="spellStart"/>
      <w:r w:rsidRPr="00511E01">
        <w:rPr>
          <w:color w:val="000000" w:themeColor="text1"/>
          <w:sz w:val="22"/>
        </w:rPr>
        <w:t>Antipina</w:t>
      </w:r>
      <w:proofErr w:type="spellEnd"/>
      <w:r w:rsidRPr="00511E01">
        <w:rPr>
          <w:color w:val="000000" w:themeColor="text1"/>
          <w:sz w:val="22"/>
        </w:rPr>
        <w:t>, I.V.</w:t>
      </w:r>
      <w:r w:rsidR="00013D70" w:rsidRPr="00511E01">
        <w:rPr>
          <w:color w:val="000000" w:themeColor="text1"/>
          <w:sz w:val="22"/>
        </w:rPr>
        <w:t>,</w:t>
      </w:r>
      <w:r w:rsidRPr="00511E01">
        <w:rPr>
          <w:color w:val="000000" w:themeColor="text1"/>
          <w:sz w:val="22"/>
        </w:rPr>
        <w:t xml:space="preserve"> </w:t>
      </w:r>
      <w:r w:rsidR="003070CF" w:rsidRPr="00511E01">
        <w:rPr>
          <w:color w:val="000000" w:themeColor="text1"/>
          <w:sz w:val="22"/>
        </w:rPr>
        <w:t xml:space="preserve">2004. </w:t>
      </w:r>
      <w:r w:rsidRPr="00511E01">
        <w:rPr>
          <w:color w:val="000000" w:themeColor="text1"/>
          <w:sz w:val="22"/>
        </w:rPr>
        <w:t xml:space="preserve">Report on investigation of radioactive pollution of the area of </w:t>
      </w:r>
      <w:proofErr w:type="spellStart"/>
      <w:r w:rsidRPr="00511E01">
        <w:rPr>
          <w:color w:val="000000" w:themeColor="text1"/>
          <w:sz w:val="22"/>
        </w:rPr>
        <w:t>Metlino</w:t>
      </w:r>
      <w:proofErr w:type="spellEnd"/>
      <w:r w:rsidRPr="00511E01">
        <w:rPr>
          <w:color w:val="000000" w:themeColor="text1"/>
          <w:sz w:val="22"/>
        </w:rPr>
        <w:t xml:space="preserve"> Village, 1951. Radiat</w:t>
      </w:r>
      <w:r w:rsidR="003A1988" w:rsidRPr="00511E01">
        <w:rPr>
          <w:color w:val="000000" w:themeColor="text1"/>
          <w:sz w:val="22"/>
        </w:rPr>
        <w:t>.</w:t>
      </w:r>
      <w:r w:rsidRPr="00511E01">
        <w:rPr>
          <w:color w:val="000000" w:themeColor="text1"/>
          <w:sz w:val="22"/>
        </w:rPr>
        <w:t xml:space="preserve"> </w:t>
      </w:r>
      <w:proofErr w:type="spellStart"/>
      <w:r w:rsidRPr="00511E01">
        <w:rPr>
          <w:color w:val="000000" w:themeColor="text1"/>
          <w:sz w:val="22"/>
        </w:rPr>
        <w:t>Saf</w:t>
      </w:r>
      <w:proofErr w:type="spellEnd"/>
      <w:r w:rsidR="00B40D8F" w:rsidRPr="00511E01">
        <w:rPr>
          <w:color w:val="000000" w:themeColor="text1"/>
          <w:sz w:val="22"/>
        </w:rPr>
        <w:t>.</w:t>
      </w:r>
      <w:r w:rsidRPr="00511E01">
        <w:rPr>
          <w:color w:val="000000" w:themeColor="text1"/>
          <w:sz w:val="22"/>
        </w:rPr>
        <w:t xml:space="preserve"> Prob</w:t>
      </w:r>
      <w:r w:rsidR="003A1988" w:rsidRPr="00511E01">
        <w:rPr>
          <w:color w:val="000000" w:themeColor="text1"/>
          <w:sz w:val="22"/>
        </w:rPr>
        <w:t>.</w:t>
      </w:r>
      <w:r w:rsidRPr="00511E01">
        <w:rPr>
          <w:color w:val="000000" w:themeColor="text1"/>
          <w:sz w:val="22"/>
        </w:rPr>
        <w:t xml:space="preserve"> 3</w:t>
      </w:r>
      <w:r w:rsidR="003A1988" w:rsidRPr="00511E01">
        <w:rPr>
          <w:color w:val="000000" w:themeColor="text1"/>
          <w:sz w:val="22"/>
        </w:rPr>
        <w:t>,</w:t>
      </w:r>
      <w:r w:rsidRPr="00511E01">
        <w:rPr>
          <w:color w:val="000000" w:themeColor="text1"/>
          <w:sz w:val="22"/>
        </w:rPr>
        <w:t xml:space="preserve"> 61–71.</w:t>
      </w:r>
    </w:p>
    <w:p w14:paraId="57145CCE" w14:textId="1E89F06B" w:rsidR="00EE2D62" w:rsidRPr="00511E01" w:rsidRDefault="00EE2D62" w:rsidP="00EE2D62">
      <w:pPr>
        <w:pStyle w:val="Annalstext"/>
        <w:ind w:left="284" w:hanging="284"/>
        <w:rPr>
          <w:color w:val="000000" w:themeColor="text1"/>
          <w:sz w:val="22"/>
        </w:rPr>
      </w:pPr>
      <w:r w:rsidRPr="00511E01">
        <w:rPr>
          <w:color w:val="000000" w:themeColor="text1"/>
          <w:sz w:val="22"/>
        </w:rPr>
        <w:t>Lokan, K.H. (ed.)</w:t>
      </w:r>
      <w:r w:rsidR="007D67FF" w:rsidRPr="00511E01">
        <w:rPr>
          <w:color w:val="000000" w:themeColor="text1"/>
          <w:sz w:val="22"/>
        </w:rPr>
        <w:t>,</w:t>
      </w:r>
      <w:r w:rsidRPr="00511E01">
        <w:rPr>
          <w:color w:val="000000" w:themeColor="text1"/>
          <w:sz w:val="22"/>
        </w:rPr>
        <w:t xml:space="preserve"> 1985, Residual radioactive contamination at Maralinga and Emu</w:t>
      </w:r>
      <w:r w:rsidR="007D67FF" w:rsidRPr="00511E01">
        <w:rPr>
          <w:color w:val="000000" w:themeColor="text1"/>
          <w:sz w:val="22"/>
        </w:rPr>
        <w:t>.</w:t>
      </w:r>
      <w:r w:rsidRPr="00511E01">
        <w:rPr>
          <w:color w:val="000000" w:themeColor="text1"/>
          <w:sz w:val="22"/>
        </w:rPr>
        <w:t xml:space="preserve"> ARL Report TR070</w:t>
      </w:r>
      <w:r w:rsidR="00013D70" w:rsidRPr="00511E01">
        <w:rPr>
          <w:color w:val="000000" w:themeColor="text1"/>
          <w:sz w:val="22"/>
        </w:rPr>
        <w:t>.</w:t>
      </w:r>
      <w:r w:rsidRPr="00511E01">
        <w:rPr>
          <w:color w:val="000000" w:themeColor="text1"/>
          <w:sz w:val="22"/>
        </w:rPr>
        <w:t xml:space="preserve"> Australian Radiation Laboratory</w:t>
      </w:r>
      <w:r w:rsidR="007D67FF" w:rsidRPr="00511E01">
        <w:rPr>
          <w:color w:val="000000" w:themeColor="text1"/>
          <w:sz w:val="22"/>
        </w:rPr>
        <w:t xml:space="preserve">, </w:t>
      </w:r>
      <w:proofErr w:type="spellStart"/>
      <w:r w:rsidR="007D67FF" w:rsidRPr="00511E01">
        <w:rPr>
          <w:color w:val="000000" w:themeColor="text1"/>
          <w:sz w:val="22"/>
        </w:rPr>
        <w:t>Yallambie</w:t>
      </w:r>
      <w:proofErr w:type="spellEnd"/>
      <w:r w:rsidRPr="00511E01">
        <w:rPr>
          <w:color w:val="000000" w:themeColor="text1"/>
          <w:sz w:val="22"/>
        </w:rPr>
        <w:t>.</w:t>
      </w:r>
    </w:p>
    <w:p w14:paraId="0617E64B" w14:textId="152B41ED" w:rsidR="00EE2D62" w:rsidRPr="00511E01" w:rsidRDefault="00EE2D62" w:rsidP="00EE2D62">
      <w:pPr>
        <w:pStyle w:val="Annalstext"/>
        <w:ind w:left="284" w:hanging="284"/>
        <w:rPr>
          <w:color w:val="000000" w:themeColor="text1"/>
          <w:sz w:val="22"/>
        </w:rPr>
      </w:pPr>
      <w:r w:rsidRPr="00511E01">
        <w:rPr>
          <w:color w:val="000000" w:themeColor="text1"/>
          <w:sz w:val="22"/>
        </w:rPr>
        <w:t xml:space="preserve">Marey, A.N., Ilyin, D.I., </w:t>
      </w:r>
      <w:proofErr w:type="spellStart"/>
      <w:r w:rsidRPr="00511E01">
        <w:rPr>
          <w:color w:val="000000" w:themeColor="text1"/>
          <w:sz w:val="22"/>
        </w:rPr>
        <w:t>Kardeeva</w:t>
      </w:r>
      <w:proofErr w:type="spellEnd"/>
      <w:r w:rsidRPr="00511E01">
        <w:rPr>
          <w:color w:val="000000" w:themeColor="text1"/>
          <w:sz w:val="22"/>
        </w:rPr>
        <w:t>, A.A.,</w:t>
      </w:r>
      <w:r w:rsidR="003A1988" w:rsidRPr="00511E01">
        <w:rPr>
          <w:color w:val="000000" w:themeColor="text1"/>
          <w:sz w:val="22"/>
        </w:rPr>
        <w:t xml:space="preserve"> et al., 2009</w:t>
      </w:r>
      <w:r w:rsidRPr="00511E01">
        <w:rPr>
          <w:color w:val="000000" w:themeColor="text1"/>
          <w:sz w:val="22"/>
        </w:rPr>
        <w:t>. Influence of industrial releases from Mendeleev factory into the Techa River on the sanitary life conditions and health of riverside residents: Report. 1952. Radiat</w:t>
      </w:r>
      <w:r w:rsidR="003A1988" w:rsidRPr="00511E01">
        <w:rPr>
          <w:color w:val="000000" w:themeColor="text1"/>
          <w:sz w:val="22"/>
        </w:rPr>
        <w:t>.</w:t>
      </w:r>
      <w:r w:rsidRPr="00511E01">
        <w:rPr>
          <w:color w:val="000000" w:themeColor="text1"/>
          <w:sz w:val="22"/>
        </w:rPr>
        <w:t xml:space="preserve"> </w:t>
      </w:r>
      <w:proofErr w:type="spellStart"/>
      <w:r w:rsidRPr="00511E01">
        <w:rPr>
          <w:color w:val="000000" w:themeColor="text1"/>
          <w:sz w:val="22"/>
        </w:rPr>
        <w:t>Saf</w:t>
      </w:r>
      <w:proofErr w:type="spellEnd"/>
      <w:r w:rsidR="003A1988" w:rsidRPr="00511E01">
        <w:rPr>
          <w:color w:val="000000" w:themeColor="text1"/>
          <w:sz w:val="22"/>
        </w:rPr>
        <w:t>.</w:t>
      </w:r>
      <w:r w:rsidRPr="00511E01">
        <w:rPr>
          <w:color w:val="000000" w:themeColor="text1"/>
          <w:sz w:val="22"/>
        </w:rPr>
        <w:t xml:space="preserve"> Probl. 2</w:t>
      </w:r>
      <w:r w:rsidR="003A1988" w:rsidRPr="00511E01">
        <w:rPr>
          <w:color w:val="000000" w:themeColor="text1"/>
          <w:sz w:val="22"/>
        </w:rPr>
        <w:t>,</w:t>
      </w:r>
      <w:r w:rsidRPr="00511E01">
        <w:rPr>
          <w:color w:val="000000" w:themeColor="text1"/>
          <w:sz w:val="22"/>
        </w:rPr>
        <w:t xml:space="preserve"> 93</w:t>
      </w:r>
      <w:r w:rsidR="003A1988" w:rsidRPr="00511E01">
        <w:rPr>
          <w:color w:val="000000" w:themeColor="text1"/>
          <w:sz w:val="22"/>
        </w:rPr>
        <w:t>–</w:t>
      </w:r>
      <w:r w:rsidRPr="00511E01">
        <w:rPr>
          <w:color w:val="000000" w:themeColor="text1"/>
          <w:sz w:val="22"/>
        </w:rPr>
        <w:t>109.</w:t>
      </w:r>
    </w:p>
    <w:p w14:paraId="65E1DACA" w14:textId="78E3AFAD" w:rsidR="00CD07BB" w:rsidRPr="00511E01" w:rsidRDefault="00CD07BB" w:rsidP="00CD07BB">
      <w:pPr>
        <w:pStyle w:val="Annalstext"/>
        <w:ind w:left="284" w:hanging="284"/>
        <w:rPr>
          <w:color w:val="000000" w:themeColor="text1"/>
          <w:sz w:val="22"/>
        </w:rPr>
      </w:pPr>
      <w:r w:rsidRPr="00511E01">
        <w:rPr>
          <w:color w:val="000000" w:themeColor="text1"/>
          <w:sz w:val="22"/>
        </w:rPr>
        <w:t>MARTAC, 2002, Rehabilitation of Former Nuclear Test Sites at Emu and Maralinga (Australia). Commonwealth of Australia, Canberra.</w:t>
      </w:r>
    </w:p>
    <w:p w14:paraId="5DEA8850" w14:textId="27D2C0DB" w:rsidR="00EE2D62" w:rsidRDefault="00EE2D62" w:rsidP="00EE2D62">
      <w:pPr>
        <w:pStyle w:val="Annalstext"/>
        <w:ind w:left="284" w:hanging="284"/>
        <w:rPr>
          <w:color w:val="000000" w:themeColor="text1"/>
          <w:sz w:val="22"/>
        </w:rPr>
      </w:pPr>
      <w:r w:rsidRPr="00511E01">
        <w:rPr>
          <w:color w:val="000000" w:themeColor="text1"/>
          <w:sz w:val="22"/>
        </w:rPr>
        <w:lastRenderedPageBreak/>
        <w:t>McClelland</w:t>
      </w:r>
      <w:r w:rsidR="007D67FF" w:rsidRPr="00511E01">
        <w:rPr>
          <w:color w:val="000000" w:themeColor="text1"/>
          <w:sz w:val="22"/>
        </w:rPr>
        <w:t>,</w:t>
      </w:r>
      <w:r w:rsidRPr="00511E01">
        <w:rPr>
          <w:color w:val="000000" w:themeColor="text1"/>
          <w:sz w:val="22"/>
        </w:rPr>
        <w:t xml:space="preserve"> J.R., 1985</w:t>
      </w:r>
      <w:r w:rsidR="007D67FF" w:rsidRPr="00511E01">
        <w:rPr>
          <w:color w:val="000000" w:themeColor="text1"/>
          <w:sz w:val="22"/>
        </w:rPr>
        <w:t>.</w:t>
      </w:r>
      <w:r w:rsidRPr="00511E01">
        <w:rPr>
          <w:color w:val="000000" w:themeColor="text1"/>
          <w:sz w:val="22"/>
        </w:rPr>
        <w:t xml:space="preserve"> The report of the Royal Commission into British Nuclear Tests in Australia</w:t>
      </w:r>
      <w:r w:rsidR="007D67FF" w:rsidRPr="00511E01">
        <w:rPr>
          <w:color w:val="000000" w:themeColor="text1"/>
          <w:sz w:val="22"/>
        </w:rPr>
        <w:t>.</w:t>
      </w:r>
      <w:r w:rsidRPr="00511E01">
        <w:rPr>
          <w:color w:val="000000" w:themeColor="text1"/>
          <w:sz w:val="22"/>
        </w:rPr>
        <w:t xml:space="preserve"> </w:t>
      </w:r>
      <w:r w:rsidR="004346D4" w:rsidRPr="00511E01">
        <w:rPr>
          <w:color w:val="000000" w:themeColor="text1"/>
          <w:sz w:val="22"/>
        </w:rPr>
        <w:t>Australian Government Publishing Service</w:t>
      </w:r>
      <w:r w:rsidRPr="00511E01">
        <w:rPr>
          <w:color w:val="000000" w:themeColor="text1"/>
          <w:sz w:val="22"/>
        </w:rPr>
        <w:t>, Canberra.</w:t>
      </w:r>
    </w:p>
    <w:p w14:paraId="53CA38A1" w14:textId="62600561" w:rsidR="00CD07BB" w:rsidRPr="00EE2D62" w:rsidRDefault="00CD07BB" w:rsidP="00CD07BB">
      <w:pPr>
        <w:pStyle w:val="Annalstext"/>
        <w:ind w:left="284" w:hanging="284"/>
        <w:rPr>
          <w:color w:val="000000" w:themeColor="text1"/>
          <w:sz w:val="22"/>
        </w:rPr>
      </w:pPr>
      <w:proofErr w:type="spellStart"/>
      <w:r w:rsidRPr="00EE2D62">
        <w:rPr>
          <w:color w:val="000000" w:themeColor="text1"/>
          <w:sz w:val="22"/>
        </w:rPr>
        <w:t>Murith</w:t>
      </w:r>
      <w:proofErr w:type="spellEnd"/>
      <w:r>
        <w:rPr>
          <w:color w:val="000000" w:themeColor="text1"/>
          <w:sz w:val="22"/>
        </w:rPr>
        <w:t xml:space="preserve">, C., </w:t>
      </w:r>
      <w:r w:rsidRPr="00EE2D62">
        <w:rPr>
          <w:color w:val="000000" w:themeColor="text1"/>
          <w:sz w:val="22"/>
        </w:rPr>
        <w:t>Baechler</w:t>
      </w:r>
      <w:r>
        <w:rPr>
          <w:color w:val="000000" w:themeColor="text1"/>
          <w:sz w:val="22"/>
        </w:rPr>
        <w:t xml:space="preserve">, S., </w:t>
      </w:r>
      <w:proofErr w:type="spellStart"/>
      <w:r w:rsidRPr="00EE2D62">
        <w:rPr>
          <w:color w:val="000000" w:themeColor="text1"/>
          <w:sz w:val="22"/>
        </w:rPr>
        <w:t>Estier</w:t>
      </w:r>
      <w:proofErr w:type="spellEnd"/>
      <w:r>
        <w:rPr>
          <w:color w:val="000000" w:themeColor="text1"/>
          <w:sz w:val="22"/>
        </w:rPr>
        <w:t xml:space="preserve">, S., </w:t>
      </w:r>
      <w:r w:rsidRPr="00EE2D62">
        <w:rPr>
          <w:color w:val="000000" w:themeColor="text1"/>
          <w:sz w:val="22"/>
        </w:rPr>
        <w:t>Palacios-Grusion</w:t>
      </w:r>
      <w:r>
        <w:rPr>
          <w:color w:val="000000" w:themeColor="text1"/>
          <w:sz w:val="22"/>
        </w:rPr>
        <w:t xml:space="preserve">, </w:t>
      </w:r>
      <w:r w:rsidR="00013D70">
        <w:rPr>
          <w:color w:val="000000" w:themeColor="text1"/>
          <w:sz w:val="22"/>
        </w:rPr>
        <w:t xml:space="preserve">M., </w:t>
      </w:r>
      <w:r>
        <w:rPr>
          <w:color w:val="000000" w:themeColor="text1"/>
          <w:sz w:val="22"/>
        </w:rPr>
        <w:t xml:space="preserve">2016. </w:t>
      </w:r>
      <w:r w:rsidRPr="00EE2D62">
        <w:rPr>
          <w:color w:val="000000" w:themeColor="text1"/>
          <w:sz w:val="22"/>
        </w:rPr>
        <w:t xml:space="preserve"> Remediation of Radium Legacies from the Swiss Watch Industry. Radiat</w:t>
      </w:r>
      <w:r>
        <w:rPr>
          <w:color w:val="000000" w:themeColor="text1"/>
          <w:sz w:val="22"/>
        </w:rPr>
        <w:t>.</w:t>
      </w:r>
      <w:r w:rsidRPr="00EE2D62">
        <w:rPr>
          <w:color w:val="000000" w:themeColor="text1"/>
          <w:sz w:val="22"/>
        </w:rPr>
        <w:t xml:space="preserve"> Prot</w:t>
      </w:r>
      <w:r>
        <w:rPr>
          <w:color w:val="000000" w:themeColor="text1"/>
          <w:sz w:val="22"/>
        </w:rPr>
        <w:t>.</w:t>
      </w:r>
      <w:r w:rsidRPr="00EE2D62">
        <w:rPr>
          <w:color w:val="000000" w:themeColor="text1"/>
          <w:sz w:val="22"/>
        </w:rPr>
        <w:t xml:space="preserve"> Dosimetry</w:t>
      </w:r>
      <w:r>
        <w:rPr>
          <w:color w:val="000000" w:themeColor="text1"/>
          <w:sz w:val="22"/>
        </w:rPr>
        <w:t xml:space="preserve"> 173, 245–251</w:t>
      </w:r>
      <w:r w:rsidRPr="00EE2D62">
        <w:rPr>
          <w:color w:val="000000" w:themeColor="text1"/>
          <w:sz w:val="22"/>
        </w:rPr>
        <w:t>.</w:t>
      </w:r>
    </w:p>
    <w:p w14:paraId="097C4054" w14:textId="6A3CD9CC" w:rsidR="00EE2D62" w:rsidRPr="00511E01" w:rsidRDefault="00EE2D62" w:rsidP="00EE2D62">
      <w:pPr>
        <w:pStyle w:val="Annalstext"/>
        <w:ind w:left="284" w:hanging="284"/>
        <w:rPr>
          <w:color w:val="000000" w:themeColor="text1"/>
          <w:sz w:val="22"/>
        </w:rPr>
      </w:pPr>
      <w:r w:rsidRPr="00511E01">
        <w:rPr>
          <w:color w:val="000000" w:themeColor="text1"/>
          <w:sz w:val="22"/>
        </w:rPr>
        <w:t>O’Brian</w:t>
      </w:r>
      <w:r w:rsidR="007D67FF" w:rsidRPr="00511E01">
        <w:rPr>
          <w:color w:val="000000" w:themeColor="text1"/>
          <w:sz w:val="22"/>
        </w:rPr>
        <w:t>,</w:t>
      </w:r>
      <w:r w:rsidRPr="00511E01">
        <w:rPr>
          <w:color w:val="000000" w:themeColor="text1"/>
          <w:sz w:val="22"/>
        </w:rPr>
        <w:t xml:space="preserve"> R., Carpenter</w:t>
      </w:r>
      <w:r w:rsidR="007D67FF" w:rsidRPr="00511E01">
        <w:rPr>
          <w:color w:val="000000" w:themeColor="text1"/>
          <w:sz w:val="22"/>
        </w:rPr>
        <w:t>,</w:t>
      </w:r>
      <w:r w:rsidRPr="00511E01">
        <w:rPr>
          <w:color w:val="000000" w:themeColor="text1"/>
          <w:sz w:val="22"/>
        </w:rPr>
        <w:t xml:space="preserve"> J., </w:t>
      </w:r>
      <w:proofErr w:type="spellStart"/>
      <w:r w:rsidRPr="00511E01">
        <w:rPr>
          <w:color w:val="000000" w:themeColor="text1"/>
          <w:sz w:val="22"/>
        </w:rPr>
        <w:t>Grzechnik</w:t>
      </w:r>
      <w:proofErr w:type="spellEnd"/>
      <w:r w:rsidR="007D67FF" w:rsidRPr="00511E01">
        <w:rPr>
          <w:color w:val="000000" w:themeColor="text1"/>
          <w:sz w:val="22"/>
        </w:rPr>
        <w:t>,</w:t>
      </w:r>
      <w:r w:rsidRPr="00511E01">
        <w:rPr>
          <w:color w:val="000000" w:themeColor="text1"/>
          <w:sz w:val="22"/>
        </w:rPr>
        <w:t xml:space="preserve"> M., Long</w:t>
      </w:r>
      <w:r w:rsidR="007D67FF" w:rsidRPr="00511E01">
        <w:rPr>
          <w:color w:val="000000" w:themeColor="text1"/>
          <w:sz w:val="22"/>
        </w:rPr>
        <w:t>,</w:t>
      </w:r>
      <w:r w:rsidRPr="00511E01">
        <w:rPr>
          <w:color w:val="000000" w:themeColor="text1"/>
          <w:sz w:val="22"/>
        </w:rPr>
        <w:t xml:space="preserve"> S.</w:t>
      </w:r>
      <w:r w:rsidR="007D67FF" w:rsidRPr="00511E01">
        <w:rPr>
          <w:color w:val="000000" w:themeColor="text1"/>
          <w:sz w:val="22"/>
        </w:rPr>
        <w:t>,</w:t>
      </w:r>
      <w:r w:rsidRPr="00511E01">
        <w:rPr>
          <w:color w:val="000000" w:themeColor="text1"/>
          <w:sz w:val="22"/>
        </w:rPr>
        <w:t xml:space="preserve"> Green</w:t>
      </w:r>
      <w:r w:rsidR="007D67FF" w:rsidRPr="00511E01">
        <w:rPr>
          <w:color w:val="000000" w:themeColor="text1"/>
          <w:sz w:val="22"/>
        </w:rPr>
        <w:t>,</w:t>
      </w:r>
      <w:r w:rsidRPr="00511E01">
        <w:rPr>
          <w:color w:val="000000" w:themeColor="text1"/>
          <w:sz w:val="22"/>
        </w:rPr>
        <w:t xml:space="preserve"> L., </w:t>
      </w:r>
      <w:r w:rsidR="00A92B95" w:rsidRPr="00511E01">
        <w:rPr>
          <w:color w:val="000000" w:themeColor="text1"/>
          <w:sz w:val="22"/>
        </w:rPr>
        <w:t xml:space="preserve">2011. </w:t>
      </w:r>
      <w:r w:rsidRPr="00511E01">
        <w:rPr>
          <w:color w:val="000000" w:themeColor="text1"/>
          <w:sz w:val="22"/>
        </w:rPr>
        <w:t>Maralinga and Oak Valley Dose Assessment – 2011</w:t>
      </w:r>
      <w:r w:rsidR="007D67FF" w:rsidRPr="00511E01">
        <w:rPr>
          <w:color w:val="000000" w:themeColor="text1"/>
          <w:sz w:val="22"/>
        </w:rPr>
        <w:t>.</w:t>
      </w:r>
      <w:r w:rsidRPr="00511E01">
        <w:rPr>
          <w:color w:val="000000" w:themeColor="text1"/>
          <w:sz w:val="22"/>
        </w:rPr>
        <w:t xml:space="preserve"> Technical Report 158</w:t>
      </w:r>
      <w:r w:rsidR="007D67FF" w:rsidRPr="00511E01">
        <w:rPr>
          <w:color w:val="000000" w:themeColor="text1"/>
          <w:sz w:val="22"/>
        </w:rPr>
        <w:t>.</w:t>
      </w:r>
      <w:r w:rsidRPr="00511E01">
        <w:rPr>
          <w:color w:val="000000" w:themeColor="text1"/>
          <w:sz w:val="22"/>
        </w:rPr>
        <w:t xml:space="preserve"> Australian Radiation Protection and Nuclear Safety Agency</w:t>
      </w:r>
      <w:r w:rsidR="0017066E" w:rsidRPr="00511E01">
        <w:rPr>
          <w:color w:val="000000" w:themeColor="text1"/>
          <w:sz w:val="22"/>
        </w:rPr>
        <w:t xml:space="preserve">, </w:t>
      </w:r>
      <w:proofErr w:type="spellStart"/>
      <w:r w:rsidR="0017066E" w:rsidRPr="00511E01">
        <w:rPr>
          <w:color w:val="000000" w:themeColor="text1"/>
          <w:sz w:val="22"/>
        </w:rPr>
        <w:t>Yallambie</w:t>
      </w:r>
      <w:proofErr w:type="spellEnd"/>
      <w:r w:rsidR="0017066E" w:rsidRPr="00511E01">
        <w:rPr>
          <w:color w:val="000000" w:themeColor="text1"/>
          <w:sz w:val="22"/>
        </w:rPr>
        <w:t>.</w:t>
      </w:r>
    </w:p>
    <w:p w14:paraId="7EBC9321" w14:textId="3F460FB8" w:rsidR="00EE2D62" w:rsidRPr="00511E01" w:rsidRDefault="00EE2D62" w:rsidP="00EE2D62">
      <w:pPr>
        <w:pStyle w:val="Annalstext"/>
        <w:ind w:left="284" w:hanging="284"/>
        <w:rPr>
          <w:color w:val="000000" w:themeColor="text1"/>
          <w:sz w:val="22"/>
        </w:rPr>
      </w:pPr>
      <w:r w:rsidRPr="00511E01">
        <w:rPr>
          <w:color w:val="000000" w:themeColor="text1"/>
          <w:sz w:val="22"/>
        </w:rPr>
        <w:t>Patton, N.</w:t>
      </w:r>
      <w:r w:rsidR="0017066E" w:rsidRPr="00511E01">
        <w:rPr>
          <w:color w:val="000000" w:themeColor="text1"/>
          <w:sz w:val="22"/>
        </w:rPr>
        <w:t>,</w:t>
      </w:r>
      <w:r w:rsidRPr="00511E01">
        <w:rPr>
          <w:color w:val="000000" w:themeColor="text1"/>
          <w:sz w:val="22"/>
        </w:rPr>
        <w:t xml:space="preserve"> 2013</w:t>
      </w:r>
      <w:r w:rsidR="0017066E" w:rsidRPr="00511E01">
        <w:rPr>
          <w:color w:val="000000" w:themeColor="text1"/>
          <w:sz w:val="22"/>
        </w:rPr>
        <w:t>.</w:t>
      </w:r>
      <w:r w:rsidRPr="00511E01">
        <w:rPr>
          <w:color w:val="000000" w:themeColor="text1"/>
          <w:sz w:val="22"/>
        </w:rPr>
        <w:t xml:space="preserve"> Dalgety Bay Appropriate Person Report</w:t>
      </w:r>
      <w:r w:rsidR="0017066E" w:rsidRPr="00511E01">
        <w:rPr>
          <w:color w:val="000000" w:themeColor="text1"/>
          <w:sz w:val="22"/>
        </w:rPr>
        <w:t>.</w:t>
      </w:r>
      <w:r w:rsidRPr="00511E01">
        <w:rPr>
          <w:color w:val="000000" w:themeColor="text1"/>
          <w:sz w:val="22"/>
        </w:rPr>
        <w:t xml:space="preserve"> Scottish Environment Protection Agency</w:t>
      </w:r>
      <w:r w:rsidR="0017066E" w:rsidRPr="00511E01">
        <w:rPr>
          <w:color w:val="000000" w:themeColor="text1"/>
          <w:sz w:val="22"/>
        </w:rPr>
        <w:t>, Stirling.</w:t>
      </w:r>
    </w:p>
    <w:p w14:paraId="2365572B" w14:textId="12298048" w:rsidR="00EE2D62" w:rsidRPr="00511E01" w:rsidRDefault="00EE2D62" w:rsidP="00EE2D62">
      <w:pPr>
        <w:pStyle w:val="Annalstext"/>
        <w:ind w:left="284" w:hanging="284"/>
        <w:rPr>
          <w:color w:val="000000" w:themeColor="text1"/>
          <w:sz w:val="22"/>
        </w:rPr>
      </w:pPr>
      <w:proofErr w:type="spellStart"/>
      <w:r w:rsidRPr="00511E01">
        <w:rPr>
          <w:color w:val="000000" w:themeColor="text1"/>
          <w:sz w:val="22"/>
        </w:rPr>
        <w:t>Pryakhin</w:t>
      </w:r>
      <w:proofErr w:type="spellEnd"/>
      <w:r w:rsidRPr="00511E01">
        <w:rPr>
          <w:color w:val="000000" w:themeColor="text1"/>
          <w:sz w:val="22"/>
        </w:rPr>
        <w:t xml:space="preserve">, E.A., </w:t>
      </w:r>
      <w:proofErr w:type="spellStart"/>
      <w:r w:rsidRPr="00511E01">
        <w:rPr>
          <w:color w:val="000000" w:themeColor="text1"/>
          <w:sz w:val="22"/>
        </w:rPr>
        <w:t>Tryapitsina</w:t>
      </w:r>
      <w:proofErr w:type="spellEnd"/>
      <w:r w:rsidRPr="00511E01">
        <w:rPr>
          <w:color w:val="000000" w:themeColor="text1"/>
          <w:sz w:val="22"/>
        </w:rPr>
        <w:t xml:space="preserve">, G.A., </w:t>
      </w:r>
      <w:proofErr w:type="spellStart"/>
      <w:r w:rsidRPr="00511E01">
        <w:rPr>
          <w:color w:val="000000" w:themeColor="text1"/>
          <w:sz w:val="22"/>
        </w:rPr>
        <w:t>Styazhkina</w:t>
      </w:r>
      <w:proofErr w:type="spellEnd"/>
      <w:r w:rsidRPr="00511E01">
        <w:rPr>
          <w:color w:val="000000" w:themeColor="text1"/>
          <w:sz w:val="22"/>
        </w:rPr>
        <w:t xml:space="preserve">, E.V., </w:t>
      </w:r>
      <w:proofErr w:type="spellStart"/>
      <w:r w:rsidRPr="00511E01">
        <w:rPr>
          <w:color w:val="000000" w:themeColor="text1"/>
          <w:sz w:val="22"/>
        </w:rPr>
        <w:t>Shaposhnikova</w:t>
      </w:r>
      <w:proofErr w:type="spellEnd"/>
      <w:r w:rsidRPr="00511E01">
        <w:rPr>
          <w:color w:val="000000" w:themeColor="text1"/>
          <w:sz w:val="22"/>
        </w:rPr>
        <w:t xml:space="preserve">, I.A., Osipov, D.I., </w:t>
      </w:r>
      <w:proofErr w:type="spellStart"/>
      <w:r w:rsidRPr="00511E01">
        <w:rPr>
          <w:color w:val="000000" w:themeColor="text1"/>
          <w:sz w:val="22"/>
        </w:rPr>
        <w:t>Akleev</w:t>
      </w:r>
      <w:proofErr w:type="spellEnd"/>
      <w:r w:rsidRPr="00511E01">
        <w:rPr>
          <w:color w:val="000000" w:themeColor="text1"/>
          <w:sz w:val="22"/>
        </w:rPr>
        <w:t>, A.B.</w:t>
      </w:r>
      <w:r w:rsidR="0017066E" w:rsidRPr="00511E01">
        <w:rPr>
          <w:color w:val="000000" w:themeColor="text1"/>
          <w:sz w:val="22"/>
        </w:rPr>
        <w:t>, 2012.</w:t>
      </w:r>
      <w:r w:rsidRPr="00511E01">
        <w:rPr>
          <w:color w:val="000000" w:themeColor="text1"/>
          <w:sz w:val="22"/>
        </w:rPr>
        <w:t xml:space="preserve"> Assessment of erythrocytes pathology level in peripheral blood in roach (Rutilus </w:t>
      </w:r>
      <w:proofErr w:type="spellStart"/>
      <w:r w:rsidRPr="00511E01">
        <w:rPr>
          <w:color w:val="000000" w:themeColor="text1"/>
          <w:sz w:val="22"/>
        </w:rPr>
        <w:t>rutilus</w:t>
      </w:r>
      <w:proofErr w:type="spellEnd"/>
      <w:r w:rsidRPr="00511E01">
        <w:rPr>
          <w:color w:val="000000" w:themeColor="text1"/>
          <w:sz w:val="22"/>
        </w:rPr>
        <w:t xml:space="preserve"> L.) from reservoirs with different levels of radioactive contamination. Radiat. Biol. </w:t>
      </w:r>
      <w:proofErr w:type="spellStart"/>
      <w:r w:rsidRPr="00511E01">
        <w:rPr>
          <w:color w:val="000000" w:themeColor="text1"/>
          <w:sz w:val="22"/>
        </w:rPr>
        <w:t>Radioecol</w:t>
      </w:r>
      <w:proofErr w:type="spellEnd"/>
      <w:r w:rsidRPr="00511E01">
        <w:rPr>
          <w:color w:val="000000" w:themeColor="text1"/>
          <w:sz w:val="22"/>
        </w:rPr>
        <w:t>. 52</w:t>
      </w:r>
      <w:r w:rsidR="0017066E" w:rsidRPr="00511E01">
        <w:rPr>
          <w:color w:val="000000" w:themeColor="text1"/>
          <w:sz w:val="22"/>
        </w:rPr>
        <w:t>,</w:t>
      </w:r>
      <w:r w:rsidRPr="00511E01">
        <w:rPr>
          <w:color w:val="000000" w:themeColor="text1"/>
          <w:sz w:val="22"/>
        </w:rPr>
        <w:t xml:space="preserve"> 616–624.</w:t>
      </w:r>
    </w:p>
    <w:p w14:paraId="709E36BD" w14:textId="5F61CFC1" w:rsidR="00EE2D62" w:rsidRPr="00EE2D62" w:rsidRDefault="00EE2D62" w:rsidP="00EE2D62">
      <w:pPr>
        <w:pStyle w:val="Annalstext"/>
        <w:ind w:left="284" w:hanging="284"/>
        <w:rPr>
          <w:color w:val="000000" w:themeColor="text1"/>
          <w:sz w:val="22"/>
        </w:rPr>
      </w:pPr>
      <w:r w:rsidRPr="00511E01">
        <w:rPr>
          <w:color w:val="000000" w:themeColor="text1"/>
          <w:sz w:val="22"/>
        </w:rPr>
        <w:t>RAC</w:t>
      </w:r>
      <w:r w:rsidR="00D722CF" w:rsidRPr="00511E01">
        <w:rPr>
          <w:color w:val="000000" w:themeColor="text1"/>
          <w:sz w:val="22"/>
        </w:rPr>
        <w:t>,</w:t>
      </w:r>
      <w:r w:rsidRPr="00511E01">
        <w:rPr>
          <w:color w:val="000000" w:themeColor="text1"/>
          <w:sz w:val="22"/>
        </w:rPr>
        <w:t xml:space="preserve"> 2000. Task 5: Independent Calculation, Radionuclide Soil Action Level Oversite Panel. 16-RSALOP-RSAL-1999-Final. Risk Assessment Corporation, </w:t>
      </w:r>
      <w:proofErr w:type="spellStart"/>
      <w:r w:rsidRPr="00511E01">
        <w:rPr>
          <w:color w:val="000000" w:themeColor="text1"/>
          <w:sz w:val="22"/>
        </w:rPr>
        <w:t>Neeses</w:t>
      </w:r>
      <w:proofErr w:type="spellEnd"/>
      <w:r w:rsidRPr="00511E01">
        <w:rPr>
          <w:color w:val="000000" w:themeColor="text1"/>
          <w:sz w:val="22"/>
        </w:rPr>
        <w:t>, SC.</w:t>
      </w:r>
    </w:p>
    <w:p w14:paraId="00A6ED32" w14:textId="30B9E46B" w:rsidR="00EE2D62" w:rsidRPr="00511E01" w:rsidRDefault="00EE2D62" w:rsidP="00EE2D62">
      <w:pPr>
        <w:pStyle w:val="Annalstext"/>
        <w:ind w:left="284" w:hanging="284"/>
        <w:rPr>
          <w:color w:val="000000" w:themeColor="text1"/>
          <w:sz w:val="22"/>
        </w:rPr>
      </w:pPr>
      <w:r w:rsidRPr="00511E01">
        <w:rPr>
          <w:color w:val="000000" w:themeColor="text1"/>
          <w:sz w:val="22"/>
        </w:rPr>
        <w:t xml:space="preserve">Rood, A.S., Grogan, </w:t>
      </w:r>
      <w:r w:rsidR="00AE7B8A" w:rsidRPr="00511E01">
        <w:rPr>
          <w:color w:val="000000" w:themeColor="text1"/>
          <w:sz w:val="22"/>
        </w:rPr>
        <w:t xml:space="preserve">H.A., </w:t>
      </w:r>
      <w:r w:rsidRPr="00511E01">
        <w:rPr>
          <w:color w:val="000000" w:themeColor="text1"/>
          <w:sz w:val="22"/>
        </w:rPr>
        <w:t xml:space="preserve">Till, </w:t>
      </w:r>
      <w:r w:rsidR="00AE7B8A" w:rsidRPr="00511E01">
        <w:rPr>
          <w:color w:val="000000" w:themeColor="text1"/>
          <w:sz w:val="22"/>
        </w:rPr>
        <w:t xml:space="preserve">J.E., </w:t>
      </w:r>
      <w:r w:rsidRPr="00511E01">
        <w:rPr>
          <w:color w:val="000000" w:themeColor="text1"/>
          <w:sz w:val="22"/>
        </w:rPr>
        <w:t>2002. A Model for a Comprehensive Evaluation of Plutonium Released to the Air from the Rocky Flats Plant, 1953–1989. Health Phys</w:t>
      </w:r>
      <w:r w:rsidR="00D722CF" w:rsidRPr="00511E01">
        <w:rPr>
          <w:color w:val="000000" w:themeColor="text1"/>
          <w:sz w:val="22"/>
        </w:rPr>
        <w:t>.</w:t>
      </w:r>
      <w:r w:rsidRPr="00511E01">
        <w:rPr>
          <w:color w:val="000000" w:themeColor="text1"/>
          <w:sz w:val="22"/>
        </w:rPr>
        <w:t xml:space="preserve"> 82</w:t>
      </w:r>
      <w:r w:rsidR="00D722CF" w:rsidRPr="00511E01">
        <w:rPr>
          <w:color w:val="000000" w:themeColor="text1"/>
          <w:sz w:val="22"/>
        </w:rPr>
        <w:t>, 182–212.</w:t>
      </w:r>
    </w:p>
    <w:p w14:paraId="1EE64672" w14:textId="2CD4A258" w:rsidR="00EE2D62" w:rsidRPr="00EE2D62" w:rsidRDefault="00EE2D62" w:rsidP="00EE2D62">
      <w:pPr>
        <w:pStyle w:val="Annalstext"/>
        <w:ind w:left="284" w:hanging="284"/>
        <w:rPr>
          <w:color w:val="000000" w:themeColor="text1"/>
          <w:sz w:val="22"/>
        </w:rPr>
      </w:pPr>
      <w:r w:rsidRPr="00511E01">
        <w:rPr>
          <w:color w:val="000000" w:themeColor="text1"/>
          <w:sz w:val="22"/>
        </w:rPr>
        <w:t>Rood, A.S.</w:t>
      </w:r>
      <w:r w:rsidR="00AE7B8A" w:rsidRPr="00511E01">
        <w:rPr>
          <w:color w:val="000000" w:themeColor="text1"/>
          <w:sz w:val="22"/>
        </w:rPr>
        <w:t>,</w:t>
      </w:r>
      <w:r w:rsidRPr="00511E01">
        <w:rPr>
          <w:color w:val="000000" w:themeColor="text1"/>
          <w:sz w:val="22"/>
        </w:rPr>
        <w:t xml:space="preserve"> Grogan, </w:t>
      </w:r>
      <w:r w:rsidR="00AE7B8A" w:rsidRPr="00511E01">
        <w:rPr>
          <w:color w:val="000000" w:themeColor="text1"/>
          <w:sz w:val="22"/>
        </w:rPr>
        <w:t xml:space="preserve">H.A., </w:t>
      </w:r>
      <w:r w:rsidRPr="00511E01">
        <w:rPr>
          <w:color w:val="000000" w:themeColor="text1"/>
          <w:sz w:val="22"/>
        </w:rPr>
        <w:t>1999. Estimated Exposure and Lifetime Cancer Incidence Risk from 903 Area Plutonium Releases at the Rocky Flats Plant. 01-CDPHE-RFP-1998-Final</w:t>
      </w:r>
      <w:r w:rsidR="00AE7B8A" w:rsidRPr="00511E01">
        <w:rPr>
          <w:color w:val="000000" w:themeColor="text1"/>
          <w:sz w:val="22"/>
        </w:rPr>
        <w:t>.</w:t>
      </w:r>
      <w:r w:rsidRPr="00511E01">
        <w:rPr>
          <w:color w:val="000000" w:themeColor="text1"/>
          <w:sz w:val="22"/>
        </w:rPr>
        <w:t xml:space="preserve"> Radiological Assessments Corporation, </w:t>
      </w:r>
      <w:proofErr w:type="spellStart"/>
      <w:r w:rsidRPr="00511E01">
        <w:rPr>
          <w:color w:val="000000" w:themeColor="text1"/>
          <w:sz w:val="22"/>
        </w:rPr>
        <w:t>Neeses</w:t>
      </w:r>
      <w:proofErr w:type="spellEnd"/>
      <w:r w:rsidRPr="00511E01">
        <w:rPr>
          <w:color w:val="000000" w:themeColor="text1"/>
          <w:sz w:val="22"/>
        </w:rPr>
        <w:t>, SC.</w:t>
      </w:r>
    </w:p>
    <w:p w14:paraId="03294E7F" w14:textId="02812D23" w:rsidR="00EE2D62" w:rsidRPr="00511E01" w:rsidRDefault="00EE2D62" w:rsidP="00EE2D62">
      <w:pPr>
        <w:pStyle w:val="Annalstext"/>
        <w:ind w:left="284" w:hanging="284"/>
        <w:rPr>
          <w:color w:val="000000" w:themeColor="text1"/>
          <w:sz w:val="22"/>
        </w:rPr>
      </w:pPr>
      <w:r w:rsidRPr="00511E01">
        <w:rPr>
          <w:color w:val="000000" w:themeColor="text1"/>
          <w:sz w:val="22"/>
        </w:rPr>
        <w:t xml:space="preserve">Shishkina, E.A., </w:t>
      </w:r>
      <w:proofErr w:type="spellStart"/>
      <w:r w:rsidRPr="00511E01">
        <w:rPr>
          <w:color w:val="000000" w:themeColor="text1"/>
          <w:sz w:val="22"/>
        </w:rPr>
        <w:t>Pryakhin</w:t>
      </w:r>
      <w:proofErr w:type="spellEnd"/>
      <w:r w:rsidRPr="00511E01">
        <w:rPr>
          <w:color w:val="000000" w:themeColor="text1"/>
          <w:sz w:val="22"/>
        </w:rPr>
        <w:t xml:space="preserve">, E.A., Popova, I.Y., </w:t>
      </w:r>
      <w:r w:rsidR="00AE7B8A" w:rsidRPr="00511E01">
        <w:rPr>
          <w:color w:val="000000" w:themeColor="text1"/>
          <w:sz w:val="22"/>
        </w:rPr>
        <w:t xml:space="preserve">et al., 2016. </w:t>
      </w:r>
      <w:r w:rsidRPr="00511E01">
        <w:rPr>
          <w:color w:val="000000" w:themeColor="text1"/>
          <w:sz w:val="22"/>
        </w:rPr>
        <w:t xml:space="preserve">Evaluation of distribution coefficients and concentration ratios of </w:t>
      </w:r>
      <w:r w:rsidRPr="00511E01">
        <w:rPr>
          <w:color w:val="000000" w:themeColor="text1"/>
          <w:sz w:val="22"/>
          <w:vertAlign w:val="superscript"/>
        </w:rPr>
        <w:t>90</w:t>
      </w:r>
      <w:r w:rsidRPr="00511E01">
        <w:rPr>
          <w:color w:val="000000" w:themeColor="text1"/>
          <w:sz w:val="22"/>
        </w:rPr>
        <w:t xml:space="preserve">Sr and </w:t>
      </w:r>
      <w:r w:rsidRPr="00511E01">
        <w:rPr>
          <w:color w:val="000000" w:themeColor="text1"/>
          <w:sz w:val="22"/>
          <w:vertAlign w:val="superscript"/>
        </w:rPr>
        <w:t>137</w:t>
      </w:r>
      <w:r w:rsidRPr="00511E01">
        <w:rPr>
          <w:color w:val="000000" w:themeColor="text1"/>
          <w:sz w:val="22"/>
        </w:rPr>
        <w:t xml:space="preserve">Cs in the Techa River and the </w:t>
      </w:r>
      <w:proofErr w:type="spellStart"/>
      <w:r w:rsidRPr="00511E01">
        <w:rPr>
          <w:color w:val="000000" w:themeColor="text1"/>
          <w:sz w:val="22"/>
        </w:rPr>
        <w:t>Miass</w:t>
      </w:r>
      <w:proofErr w:type="spellEnd"/>
      <w:r w:rsidRPr="00511E01">
        <w:rPr>
          <w:color w:val="000000" w:themeColor="text1"/>
          <w:sz w:val="22"/>
        </w:rPr>
        <w:t xml:space="preserve"> River. J. Environ. Radioact. 158–159</w:t>
      </w:r>
      <w:r w:rsidR="00AE7B8A" w:rsidRPr="00511E01">
        <w:rPr>
          <w:color w:val="000000" w:themeColor="text1"/>
          <w:sz w:val="22"/>
        </w:rPr>
        <w:t>,</w:t>
      </w:r>
      <w:r w:rsidRPr="00511E01">
        <w:rPr>
          <w:color w:val="000000" w:themeColor="text1"/>
          <w:sz w:val="22"/>
        </w:rPr>
        <w:t xml:space="preserve"> 148–163.</w:t>
      </w:r>
    </w:p>
    <w:p w14:paraId="62B51D43" w14:textId="613B9F27" w:rsidR="00EE2D62" w:rsidRDefault="00EE2D62" w:rsidP="00EE2D62">
      <w:pPr>
        <w:pStyle w:val="Annalstext"/>
        <w:ind w:left="284" w:hanging="284"/>
        <w:rPr>
          <w:color w:val="000000" w:themeColor="text1"/>
          <w:sz w:val="22"/>
        </w:rPr>
      </w:pPr>
      <w:r w:rsidRPr="00511E01">
        <w:rPr>
          <w:color w:val="000000" w:themeColor="text1"/>
          <w:sz w:val="22"/>
        </w:rPr>
        <w:t>Shishkina</w:t>
      </w:r>
      <w:r w:rsidR="00AE7B8A" w:rsidRPr="00511E01">
        <w:rPr>
          <w:color w:val="000000" w:themeColor="text1"/>
          <w:sz w:val="22"/>
        </w:rPr>
        <w:t>,</w:t>
      </w:r>
      <w:r w:rsidRPr="00511E01">
        <w:rPr>
          <w:color w:val="000000" w:themeColor="text1"/>
          <w:sz w:val="22"/>
        </w:rPr>
        <w:t xml:space="preserve"> E.A., </w:t>
      </w:r>
      <w:proofErr w:type="spellStart"/>
      <w:r w:rsidRPr="00511E01">
        <w:rPr>
          <w:color w:val="000000" w:themeColor="text1"/>
          <w:sz w:val="22"/>
        </w:rPr>
        <w:t>Pryakhin</w:t>
      </w:r>
      <w:proofErr w:type="spellEnd"/>
      <w:r w:rsidR="00AE7B8A" w:rsidRPr="00511E01">
        <w:rPr>
          <w:color w:val="000000" w:themeColor="text1"/>
          <w:sz w:val="22"/>
        </w:rPr>
        <w:t>,</w:t>
      </w:r>
      <w:r w:rsidRPr="00511E01">
        <w:rPr>
          <w:color w:val="000000" w:themeColor="text1"/>
          <w:sz w:val="22"/>
        </w:rPr>
        <w:t xml:space="preserve"> E.A., </w:t>
      </w:r>
      <w:proofErr w:type="spellStart"/>
      <w:r w:rsidRPr="00511E01">
        <w:rPr>
          <w:color w:val="000000" w:themeColor="text1"/>
          <w:sz w:val="22"/>
        </w:rPr>
        <w:t>Sharagin</w:t>
      </w:r>
      <w:proofErr w:type="spellEnd"/>
      <w:r w:rsidR="00AE7B8A" w:rsidRPr="00511E01">
        <w:rPr>
          <w:color w:val="000000" w:themeColor="text1"/>
          <w:sz w:val="22"/>
        </w:rPr>
        <w:t>,</w:t>
      </w:r>
      <w:r w:rsidRPr="00511E01">
        <w:rPr>
          <w:color w:val="000000" w:themeColor="text1"/>
          <w:sz w:val="22"/>
        </w:rPr>
        <w:t xml:space="preserve"> P.A., </w:t>
      </w:r>
      <w:r w:rsidR="00AE7B8A" w:rsidRPr="00511E01">
        <w:rPr>
          <w:color w:val="000000" w:themeColor="text1"/>
          <w:sz w:val="22"/>
        </w:rPr>
        <w:t xml:space="preserve">et al., 2019. </w:t>
      </w:r>
      <w:r w:rsidRPr="00511E01">
        <w:rPr>
          <w:color w:val="000000" w:themeColor="text1"/>
          <w:sz w:val="22"/>
        </w:rPr>
        <w:t>The radiation exposure of fish in the period of the Techa river peak contamination. J. Environ. Radioact. 201</w:t>
      </w:r>
      <w:r w:rsidR="00AE7B8A" w:rsidRPr="00511E01">
        <w:rPr>
          <w:color w:val="000000" w:themeColor="text1"/>
          <w:sz w:val="22"/>
        </w:rPr>
        <w:t>,</w:t>
      </w:r>
      <w:r w:rsidRPr="00511E01">
        <w:rPr>
          <w:color w:val="000000" w:themeColor="text1"/>
          <w:sz w:val="22"/>
        </w:rPr>
        <w:t xml:space="preserve"> 43</w:t>
      </w:r>
      <w:r w:rsidR="00AE7B8A" w:rsidRPr="00511E01">
        <w:rPr>
          <w:color w:val="000000" w:themeColor="text1"/>
          <w:sz w:val="22"/>
        </w:rPr>
        <w:t>–</w:t>
      </w:r>
      <w:r w:rsidRPr="00511E01">
        <w:rPr>
          <w:color w:val="000000" w:themeColor="text1"/>
          <w:sz w:val="22"/>
        </w:rPr>
        <w:t>55.</w:t>
      </w:r>
    </w:p>
    <w:p w14:paraId="3A3615A7" w14:textId="759145A1" w:rsidR="00CD07BB" w:rsidRPr="00EE2D62" w:rsidRDefault="00CD07BB" w:rsidP="00CD07BB">
      <w:pPr>
        <w:pStyle w:val="Annalstext"/>
        <w:ind w:left="284" w:hanging="284"/>
        <w:rPr>
          <w:color w:val="000000" w:themeColor="text1"/>
          <w:sz w:val="22"/>
        </w:rPr>
      </w:pPr>
      <w:r>
        <w:rPr>
          <w:color w:val="000000" w:themeColor="text1"/>
          <w:sz w:val="22"/>
        </w:rPr>
        <w:t xml:space="preserve">Shoigu, S.K. (Ed.), 2002. </w:t>
      </w:r>
      <w:r w:rsidRPr="00EE2D62">
        <w:rPr>
          <w:color w:val="000000" w:themeColor="text1"/>
          <w:sz w:val="22"/>
        </w:rPr>
        <w:t xml:space="preserve">Consequences of anthropogenic radiation impact and problems of the Ural region rehabilitation.  </w:t>
      </w:r>
      <w:proofErr w:type="spellStart"/>
      <w:r w:rsidRPr="00EE2D62">
        <w:rPr>
          <w:color w:val="000000" w:themeColor="text1"/>
          <w:sz w:val="22"/>
        </w:rPr>
        <w:t>Komtekhprint</w:t>
      </w:r>
      <w:proofErr w:type="spellEnd"/>
      <w:r w:rsidRPr="00EE2D62">
        <w:rPr>
          <w:color w:val="000000" w:themeColor="text1"/>
          <w:sz w:val="22"/>
        </w:rPr>
        <w:t>, Moscow.</w:t>
      </w:r>
    </w:p>
    <w:p w14:paraId="34E8B31C" w14:textId="1D1224BF" w:rsidR="00EE2D62" w:rsidRPr="00511E01" w:rsidRDefault="00EE2D62" w:rsidP="00EE2D62">
      <w:pPr>
        <w:pStyle w:val="Annalstext"/>
        <w:ind w:left="284" w:hanging="284"/>
        <w:rPr>
          <w:color w:val="000000" w:themeColor="text1"/>
          <w:sz w:val="22"/>
        </w:rPr>
      </w:pPr>
      <w:proofErr w:type="spellStart"/>
      <w:r w:rsidRPr="00511E01">
        <w:rPr>
          <w:color w:val="000000" w:themeColor="text1"/>
          <w:sz w:val="22"/>
        </w:rPr>
        <w:t>Styazhkina</w:t>
      </w:r>
      <w:proofErr w:type="spellEnd"/>
      <w:r w:rsidRPr="00511E01">
        <w:rPr>
          <w:color w:val="000000" w:themeColor="text1"/>
          <w:sz w:val="22"/>
        </w:rPr>
        <w:t xml:space="preserve">, E.V., </w:t>
      </w:r>
      <w:proofErr w:type="spellStart"/>
      <w:r w:rsidRPr="00511E01">
        <w:rPr>
          <w:color w:val="000000" w:themeColor="text1"/>
          <w:sz w:val="22"/>
        </w:rPr>
        <w:t>Obvintseva</w:t>
      </w:r>
      <w:proofErr w:type="spellEnd"/>
      <w:r w:rsidRPr="00511E01">
        <w:rPr>
          <w:color w:val="000000" w:themeColor="text1"/>
          <w:sz w:val="22"/>
        </w:rPr>
        <w:t xml:space="preserve">, N.A., </w:t>
      </w:r>
      <w:proofErr w:type="spellStart"/>
      <w:r w:rsidRPr="00511E01">
        <w:rPr>
          <w:color w:val="000000" w:themeColor="text1"/>
          <w:sz w:val="22"/>
        </w:rPr>
        <w:t>Shaposhnikova</w:t>
      </w:r>
      <w:proofErr w:type="spellEnd"/>
      <w:r w:rsidRPr="00511E01">
        <w:rPr>
          <w:color w:val="000000" w:themeColor="text1"/>
          <w:sz w:val="22"/>
        </w:rPr>
        <w:t xml:space="preserve">, I.A., </w:t>
      </w:r>
      <w:proofErr w:type="spellStart"/>
      <w:r w:rsidRPr="00511E01">
        <w:rPr>
          <w:color w:val="000000" w:themeColor="text1"/>
          <w:sz w:val="22"/>
        </w:rPr>
        <w:t>Tryapitsina</w:t>
      </w:r>
      <w:proofErr w:type="spellEnd"/>
      <w:r w:rsidRPr="00511E01">
        <w:rPr>
          <w:color w:val="000000" w:themeColor="text1"/>
          <w:sz w:val="22"/>
        </w:rPr>
        <w:t xml:space="preserve">, G.A., </w:t>
      </w:r>
      <w:proofErr w:type="spellStart"/>
      <w:r w:rsidRPr="00511E01">
        <w:rPr>
          <w:color w:val="000000" w:themeColor="text1"/>
          <w:sz w:val="22"/>
        </w:rPr>
        <w:t>Stukalov</w:t>
      </w:r>
      <w:proofErr w:type="spellEnd"/>
      <w:r w:rsidRPr="00511E01">
        <w:rPr>
          <w:color w:val="000000" w:themeColor="text1"/>
          <w:sz w:val="22"/>
        </w:rPr>
        <w:t xml:space="preserve">, P.M., </w:t>
      </w:r>
      <w:proofErr w:type="spellStart"/>
      <w:r w:rsidRPr="00511E01">
        <w:rPr>
          <w:color w:val="000000" w:themeColor="text1"/>
          <w:sz w:val="22"/>
        </w:rPr>
        <w:t>PStyazhkinaryakhin</w:t>
      </w:r>
      <w:proofErr w:type="spellEnd"/>
      <w:r w:rsidRPr="00511E01">
        <w:rPr>
          <w:color w:val="000000" w:themeColor="text1"/>
          <w:sz w:val="22"/>
        </w:rPr>
        <w:t>, E.A.</w:t>
      </w:r>
      <w:r w:rsidR="00EF095C" w:rsidRPr="00511E01">
        <w:rPr>
          <w:color w:val="000000" w:themeColor="text1"/>
          <w:sz w:val="22"/>
        </w:rPr>
        <w:t>,</w:t>
      </w:r>
      <w:r w:rsidRPr="00511E01">
        <w:rPr>
          <w:color w:val="000000" w:themeColor="text1"/>
          <w:sz w:val="22"/>
        </w:rPr>
        <w:t xml:space="preserve"> </w:t>
      </w:r>
      <w:r w:rsidR="00EF095C" w:rsidRPr="00511E01">
        <w:rPr>
          <w:color w:val="000000" w:themeColor="text1"/>
          <w:sz w:val="22"/>
        </w:rPr>
        <w:t xml:space="preserve">2012. </w:t>
      </w:r>
      <w:r w:rsidRPr="00511E01">
        <w:rPr>
          <w:color w:val="000000" w:themeColor="text1"/>
          <w:sz w:val="22"/>
        </w:rPr>
        <w:t xml:space="preserve">Analysis of DNA damage/repair level in Rutilus </w:t>
      </w:r>
      <w:proofErr w:type="spellStart"/>
      <w:r w:rsidRPr="00511E01">
        <w:rPr>
          <w:color w:val="000000" w:themeColor="text1"/>
          <w:sz w:val="22"/>
        </w:rPr>
        <w:t>rutilus</w:t>
      </w:r>
      <w:proofErr w:type="spellEnd"/>
      <w:r w:rsidRPr="00511E01">
        <w:rPr>
          <w:color w:val="000000" w:themeColor="text1"/>
          <w:sz w:val="22"/>
        </w:rPr>
        <w:t xml:space="preserve"> L. from reservoirs of the Techa River cascade with different levels of radioactive pollution. Radiat. Biol. </w:t>
      </w:r>
      <w:proofErr w:type="spellStart"/>
      <w:r w:rsidRPr="00511E01">
        <w:rPr>
          <w:color w:val="000000" w:themeColor="text1"/>
          <w:sz w:val="22"/>
        </w:rPr>
        <w:t>Radioecol</w:t>
      </w:r>
      <w:proofErr w:type="spellEnd"/>
      <w:r w:rsidRPr="00511E01">
        <w:rPr>
          <w:color w:val="000000" w:themeColor="text1"/>
          <w:sz w:val="22"/>
        </w:rPr>
        <w:t>. 52</w:t>
      </w:r>
      <w:r w:rsidR="00EF095C" w:rsidRPr="00511E01">
        <w:rPr>
          <w:color w:val="000000" w:themeColor="text1"/>
          <w:sz w:val="22"/>
        </w:rPr>
        <w:t>,</w:t>
      </w:r>
      <w:r w:rsidRPr="00511E01">
        <w:rPr>
          <w:color w:val="000000" w:themeColor="text1"/>
          <w:sz w:val="22"/>
        </w:rPr>
        <w:t xml:space="preserve"> 198–206.</w:t>
      </w:r>
    </w:p>
    <w:p w14:paraId="5E2BFB8F" w14:textId="1CDCC7D1" w:rsidR="00EE2D62" w:rsidRPr="00511E01" w:rsidRDefault="00EE2D62" w:rsidP="00EE2D62">
      <w:pPr>
        <w:pStyle w:val="Annalstext"/>
        <w:ind w:left="284" w:hanging="284"/>
        <w:rPr>
          <w:color w:val="000000" w:themeColor="text1"/>
          <w:sz w:val="22"/>
        </w:rPr>
      </w:pPr>
      <w:proofErr w:type="spellStart"/>
      <w:r w:rsidRPr="00511E01">
        <w:rPr>
          <w:color w:val="000000" w:themeColor="text1"/>
          <w:sz w:val="22"/>
        </w:rPr>
        <w:t>Styazhkina</w:t>
      </w:r>
      <w:proofErr w:type="spellEnd"/>
      <w:r w:rsidRPr="00511E01">
        <w:rPr>
          <w:color w:val="000000" w:themeColor="text1"/>
          <w:sz w:val="22"/>
        </w:rPr>
        <w:t xml:space="preserve">, E.V., </w:t>
      </w:r>
      <w:proofErr w:type="spellStart"/>
      <w:r w:rsidRPr="00511E01">
        <w:rPr>
          <w:color w:val="000000" w:themeColor="text1"/>
          <w:sz w:val="22"/>
        </w:rPr>
        <w:t>Shaposhnikova</w:t>
      </w:r>
      <w:proofErr w:type="spellEnd"/>
      <w:r w:rsidRPr="00511E01">
        <w:rPr>
          <w:color w:val="000000" w:themeColor="text1"/>
          <w:sz w:val="22"/>
        </w:rPr>
        <w:t xml:space="preserve">, I.A., Osipov, D.I., </w:t>
      </w:r>
      <w:proofErr w:type="spellStart"/>
      <w:r w:rsidRPr="00511E01">
        <w:rPr>
          <w:color w:val="000000" w:themeColor="text1"/>
          <w:sz w:val="22"/>
        </w:rPr>
        <w:t>Pryakhin</w:t>
      </w:r>
      <w:proofErr w:type="spellEnd"/>
      <w:r w:rsidRPr="00511E01">
        <w:rPr>
          <w:color w:val="000000" w:themeColor="text1"/>
          <w:sz w:val="22"/>
        </w:rPr>
        <w:t>, E.A.</w:t>
      </w:r>
      <w:r w:rsidR="00EF095C" w:rsidRPr="00511E01">
        <w:rPr>
          <w:color w:val="000000" w:themeColor="text1"/>
          <w:sz w:val="22"/>
        </w:rPr>
        <w:t>, 2015.</w:t>
      </w:r>
      <w:r w:rsidRPr="00511E01">
        <w:rPr>
          <w:color w:val="000000" w:themeColor="text1"/>
          <w:sz w:val="22"/>
        </w:rPr>
        <w:t xml:space="preserve"> Evaluation of the nuclear DNA of roach’ peripheral blood cells from the Techa River with comet assay. Bulletin of Chelyabinsk State University 376</w:t>
      </w:r>
      <w:r w:rsidR="00EF095C" w:rsidRPr="00511E01">
        <w:rPr>
          <w:color w:val="000000" w:themeColor="text1"/>
          <w:sz w:val="22"/>
        </w:rPr>
        <w:t>,</w:t>
      </w:r>
      <w:r w:rsidRPr="00511E01">
        <w:rPr>
          <w:color w:val="000000" w:themeColor="text1"/>
          <w:sz w:val="22"/>
        </w:rPr>
        <w:t xml:space="preserve"> 84–88.</w:t>
      </w:r>
    </w:p>
    <w:p w14:paraId="585E743D" w14:textId="251845B6" w:rsidR="00EE2D62" w:rsidRPr="00511E01" w:rsidRDefault="00EE2D62" w:rsidP="00EE2D62">
      <w:pPr>
        <w:pStyle w:val="Annalstext"/>
        <w:ind w:left="284" w:hanging="284"/>
        <w:rPr>
          <w:color w:val="000000" w:themeColor="text1"/>
          <w:sz w:val="22"/>
        </w:rPr>
      </w:pPr>
      <w:r w:rsidRPr="00511E01">
        <w:rPr>
          <w:color w:val="000000" w:themeColor="text1"/>
          <w:sz w:val="22"/>
        </w:rPr>
        <w:t>Symonds, J.L., 1985</w:t>
      </w:r>
      <w:r w:rsidR="004746AD" w:rsidRPr="00511E01">
        <w:rPr>
          <w:color w:val="000000" w:themeColor="text1"/>
          <w:sz w:val="22"/>
        </w:rPr>
        <w:t>.</w:t>
      </w:r>
      <w:r w:rsidRPr="00511E01">
        <w:rPr>
          <w:color w:val="000000" w:themeColor="text1"/>
          <w:sz w:val="22"/>
        </w:rPr>
        <w:t xml:space="preserve"> A history of British Atomic Tests in Australia</w:t>
      </w:r>
      <w:r w:rsidR="004746AD" w:rsidRPr="00511E01">
        <w:rPr>
          <w:color w:val="000000" w:themeColor="text1"/>
          <w:sz w:val="22"/>
        </w:rPr>
        <w:t>.</w:t>
      </w:r>
      <w:r w:rsidRPr="00511E01">
        <w:rPr>
          <w:color w:val="000000" w:themeColor="text1"/>
          <w:sz w:val="22"/>
        </w:rPr>
        <w:t xml:space="preserve"> Department of Resources and Energy, Canberra.</w:t>
      </w:r>
    </w:p>
    <w:p w14:paraId="3A9E3974" w14:textId="257D0834" w:rsidR="00EE2D62" w:rsidRPr="00511E01" w:rsidRDefault="00EE2D62" w:rsidP="00EE2D62">
      <w:pPr>
        <w:pStyle w:val="Annalstext"/>
        <w:ind w:left="284" w:hanging="284"/>
        <w:rPr>
          <w:color w:val="000000" w:themeColor="text1"/>
          <w:sz w:val="22"/>
        </w:rPr>
      </w:pPr>
      <w:r w:rsidRPr="00511E01">
        <w:rPr>
          <w:color w:val="000000" w:themeColor="text1"/>
          <w:sz w:val="22"/>
        </w:rPr>
        <w:t>TAG, 1990</w:t>
      </w:r>
      <w:r w:rsidR="004746AD" w:rsidRPr="00511E01">
        <w:rPr>
          <w:color w:val="000000" w:themeColor="text1"/>
          <w:sz w:val="22"/>
        </w:rPr>
        <w:t>.</w:t>
      </w:r>
      <w:r w:rsidRPr="00511E01">
        <w:rPr>
          <w:color w:val="000000" w:themeColor="text1"/>
          <w:sz w:val="22"/>
        </w:rPr>
        <w:t xml:space="preserve"> Rehabilitation of former nuclear test sites in Australia</w:t>
      </w:r>
      <w:r w:rsidR="004746AD" w:rsidRPr="00511E01">
        <w:rPr>
          <w:color w:val="000000" w:themeColor="text1"/>
          <w:sz w:val="22"/>
        </w:rPr>
        <w:t>.</w:t>
      </w:r>
      <w:r w:rsidRPr="00511E01">
        <w:rPr>
          <w:color w:val="000000" w:themeColor="text1"/>
          <w:sz w:val="22"/>
        </w:rPr>
        <w:t xml:space="preserve"> Department of Primary Industries and Energy, Canberra</w:t>
      </w:r>
      <w:r w:rsidR="00B544BF" w:rsidRPr="00511E01">
        <w:rPr>
          <w:color w:val="000000" w:themeColor="text1"/>
          <w:sz w:val="22"/>
        </w:rPr>
        <w:t>.</w:t>
      </w:r>
    </w:p>
    <w:p w14:paraId="630EE331" w14:textId="4D8C9E38" w:rsidR="00EE2D62" w:rsidRPr="00511E01" w:rsidRDefault="00EE2D62" w:rsidP="00EE2D62">
      <w:pPr>
        <w:pStyle w:val="Annalstext"/>
        <w:ind w:left="284" w:hanging="284"/>
        <w:rPr>
          <w:color w:val="000000" w:themeColor="text1"/>
          <w:sz w:val="22"/>
        </w:rPr>
      </w:pPr>
      <w:r w:rsidRPr="00511E01">
        <w:rPr>
          <w:color w:val="000000" w:themeColor="text1"/>
          <w:sz w:val="22"/>
        </w:rPr>
        <w:t xml:space="preserve">Till, J.E., Meyer, </w:t>
      </w:r>
      <w:r w:rsidR="004746AD" w:rsidRPr="00511E01">
        <w:rPr>
          <w:color w:val="000000" w:themeColor="text1"/>
          <w:sz w:val="22"/>
        </w:rPr>
        <w:t xml:space="preserve">K.R., </w:t>
      </w:r>
      <w:proofErr w:type="spellStart"/>
      <w:r w:rsidRPr="00511E01">
        <w:rPr>
          <w:color w:val="000000" w:themeColor="text1"/>
          <w:sz w:val="22"/>
        </w:rPr>
        <w:t>Aannenson</w:t>
      </w:r>
      <w:proofErr w:type="spellEnd"/>
      <w:r w:rsidRPr="00511E01">
        <w:rPr>
          <w:color w:val="000000" w:themeColor="text1"/>
          <w:sz w:val="22"/>
        </w:rPr>
        <w:t xml:space="preserve">, </w:t>
      </w:r>
      <w:r w:rsidR="004746AD" w:rsidRPr="00511E01">
        <w:rPr>
          <w:color w:val="000000" w:themeColor="text1"/>
          <w:sz w:val="22"/>
        </w:rPr>
        <w:t>J.W., et al.,</w:t>
      </w:r>
      <w:r w:rsidRPr="00511E01">
        <w:rPr>
          <w:color w:val="000000" w:themeColor="text1"/>
          <w:sz w:val="22"/>
        </w:rPr>
        <w:t xml:space="preserve"> 2000. Technical Project Summary; Radionuclide Soil Action Level Oversight Panel. 1-RSALOP-RSAL-2000-Final. Risk Assessment Corporation, </w:t>
      </w:r>
      <w:proofErr w:type="spellStart"/>
      <w:r w:rsidRPr="00511E01">
        <w:rPr>
          <w:color w:val="000000" w:themeColor="text1"/>
          <w:sz w:val="22"/>
        </w:rPr>
        <w:t>Neeses</w:t>
      </w:r>
      <w:proofErr w:type="spellEnd"/>
      <w:r w:rsidRPr="00511E01">
        <w:rPr>
          <w:color w:val="000000" w:themeColor="text1"/>
          <w:sz w:val="22"/>
        </w:rPr>
        <w:t>, SC.</w:t>
      </w:r>
    </w:p>
    <w:p w14:paraId="4D2EB6A7" w14:textId="5FC3F038" w:rsidR="00EE2D62" w:rsidRPr="00511E01" w:rsidRDefault="00EE2D62" w:rsidP="00EE2D62">
      <w:pPr>
        <w:pStyle w:val="Annalstext"/>
        <w:ind w:left="284" w:hanging="284"/>
        <w:rPr>
          <w:color w:val="000000" w:themeColor="text1"/>
          <w:sz w:val="22"/>
        </w:rPr>
      </w:pPr>
      <w:r w:rsidRPr="00511E01">
        <w:rPr>
          <w:color w:val="000000" w:themeColor="text1"/>
          <w:sz w:val="22"/>
        </w:rPr>
        <w:t xml:space="preserve">Till, J.E., Rood, </w:t>
      </w:r>
      <w:r w:rsidR="004746AD" w:rsidRPr="00511E01">
        <w:rPr>
          <w:color w:val="000000" w:themeColor="text1"/>
          <w:sz w:val="22"/>
        </w:rPr>
        <w:t xml:space="preserve">A.S., </w:t>
      </w:r>
      <w:proofErr w:type="spellStart"/>
      <w:r w:rsidRPr="00511E01">
        <w:rPr>
          <w:color w:val="000000" w:themeColor="text1"/>
          <w:sz w:val="22"/>
        </w:rPr>
        <w:t>Voilleque</w:t>
      </w:r>
      <w:proofErr w:type="spellEnd"/>
      <w:r w:rsidRPr="00511E01">
        <w:rPr>
          <w:color w:val="000000" w:themeColor="text1"/>
          <w:sz w:val="22"/>
        </w:rPr>
        <w:t xml:space="preserve">, </w:t>
      </w:r>
      <w:r w:rsidR="004746AD" w:rsidRPr="00511E01">
        <w:rPr>
          <w:color w:val="000000" w:themeColor="text1"/>
          <w:sz w:val="22"/>
        </w:rPr>
        <w:t>P.G., et al.</w:t>
      </w:r>
      <w:r w:rsidRPr="00511E01">
        <w:rPr>
          <w:color w:val="000000" w:themeColor="text1"/>
          <w:sz w:val="22"/>
        </w:rPr>
        <w:t xml:space="preserve">, 2002. Risks to the Public from Historical Releases of Radionuclides and Chemicals at the Rocky Flats Environmental Technology Site. </w:t>
      </w:r>
      <w:r w:rsidR="009817A7" w:rsidRPr="00511E01">
        <w:rPr>
          <w:color w:val="000000" w:themeColor="text1"/>
          <w:sz w:val="22"/>
        </w:rPr>
        <w:t xml:space="preserve">J. Expo. Anal. Environ. </w:t>
      </w:r>
      <w:proofErr w:type="spellStart"/>
      <w:r w:rsidR="009817A7" w:rsidRPr="00511E01">
        <w:rPr>
          <w:color w:val="000000" w:themeColor="text1"/>
          <w:sz w:val="22"/>
        </w:rPr>
        <w:t>Epidemiol</w:t>
      </w:r>
      <w:proofErr w:type="spellEnd"/>
      <w:r w:rsidR="009817A7" w:rsidRPr="00511E01">
        <w:rPr>
          <w:color w:val="000000" w:themeColor="text1"/>
          <w:sz w:val="22"/>
        </w:rPr>
        <w:t xml:space="preserve">. </w:t>
      </w:r>
      <w:r w:rsidRPr="00511E01">
        <w:rPr>
          <w:color w:val="000000" w:themeColor="text1"/>
          <w:sz w:val="22"/>
        </w:rPr>
        <w:t>12</w:t>
      </w:r>
      <w:r w:rsidR="009817A7" w:rsidRPr="00511E01">
        <w:rPr>
          <w:color w:val="000000" w:themeColor="text1"/>
          <w:sz w:val="22"/>
        </w:rPr>
        <w:t>,</w:t>
      </w:r>
      <w:r w:rsidRPr="00511E01">
        <w:rPr>
          <w:color w:val="000000" w:themeColor="text1"/>
          <w:sz w:val="22"/>
        </w:rPr>
        <w:t xml:space="preserve"> 355</w:t>
      </w:r>
      <w:r w:rsidR="009817A7" w:rsidRPr="00511E01">
        <w:rPr>
          <w:color w:val="000000" w:themeColor="text1"/>
          <w:sz w:val="22"/>
        </w:rPr>
        <w:t>–</w:t>
      </w:r>
      <w:r w:rsidRPr="00511E01">
        <w:rPr>
          <w:color w:val="000000" w:themeColor="text1"/>
          <w:sz w:val="22"/>
        </w:rPr>
        <w:t>372</w:t>
      </w:r>
      <w:r w:rsidR="009817A7" w:rsidRPr="00511E01">
        <w:rPr>
          <w:color w:val="000000" w:themeColor="text1"/>
          <w:sz w:val="22"/>
        </w:rPr>
        <w:t>.</w:t>
      </w:r>
    </w:p>
    <w:p w14:paraId="1421F512" w14:textId="007B3525" w:rsidR="00EE2D62" w:rsidRPr="00511E01" w:rsidRDefault="00EE2D62" w:rsidP="00EE2D62">
      <w:pPr>
        <w:pStyle w:val="Annalstext"/>
        <w:ind w:left="284" w:hanging="284"/>
        <w:rPr>
          <w:color w:val="000000" w:themeColor="text1"/>
          <w:sz w:val="22"/>
        </w:rPr>
      </w:pPr>
      <w:proofErr w:type="spellStart"/>
      <w:r w:rsidRPr="00511E01">
        <w:rPr>
          <w:color w:val="000000" w:themeColor="text1"/>
          <w:sz w:val="22"/>
        </w:rPr>
        <w:t>Tryapitsina</w:t>
      </w:r>
      <w:proofErr w:type="spellEnd"/>
      <w:r w:rsidRPr="00511E01">
        <w:rPr>
          <w:color w:val="000000" w:themeColor="text1"/>
          <w:sz w:val="22"/>
        </w:rPr>
        <w:t xml:space="preserve">, G.A., Osipov, D.I., </w:t>
      </w:r>
      <w:proofErr w:type="spellStart"/>
      <w:r w:rsidRPr="00511E01">
        <w:rPr>
          <w:color w:val="000000" w:themeColor="text1"/>
          <w:sz w:val="22"/>
        </w:rPr>
        <w:t>Yegoreichenkov</w:t>
      </w:r>
      <w:proofErr w:type="spellEnd"/>
      <w:r w:rsidRPr="00511E01">
        <w:rPr>
          <w:color w:val="000000" w:themeColor="text1"/>
          <w:sz w:val="22"/>
        </w:rPr>
        <w:t>, E.A.,</w:t>
      </w:r>
      <w:r w:rsidR="00B544BF" w:rsidRPr="00511E01">
        <w:rPr>
          <w:color w:val="000000" w:themeColor="text1"/>
          <w:sz w:val="22"/>
        </w:rPr>
        <w:t xml:space="preserve"> </w:t>
      </w:r>
      <w:r w:rsidR="003366A2" w:rsidRPr="00511E01">
        <w:rPr>
          <w:color w:val="000000" w:themeColor="text1"/>
          <w:sz w:val="22"/>
        </w:rPr>
        <w:t>et al</w:t>
      </w:r>
      <w:r w:rsidR="00B544BF" w:rsidRPr="00511E01">
        <w:rPr>
          <w:color w:val="000000" w:themeColor="text1"/>
          <w:sz w:val="22"/>
        </w:rPr>
        <w:t>.</w:t>
      </w:r>
      <w:r w:rsidR="003366A2" w:rsidRPr="00511E01">
        <w:rPr>
          <w:color w:val="000000" w:themeColor="text1"/>
          <w:sz w:val="22"/>
        </w:rPr>
        <w:t>, 2017</w:t>
      </w:r>
      <w:r w:rsidRPr="00511E01">
        <w:rPr>
          <w:color w:val="000000" w:themeColor="text1"/>
          <w:sz w:val="22"/>
        </w:rPr>
        <w:t xml:space="preserve">. Assessment of erythropoiesis status in roach (Rutilus rutilus) of the radioactively contaminated Techa River. </w:t>
      </w:r>
      <w:proofErr w:type="spellStart"/>
      <w:r w:rsidRPr="00511E01">
        <w:rPr>
          <w:color w:val="000000" w:themeColor="text1"/>
          <w:sz w:val="22"/>
        </w:rPr>
        <w:t>Radiat</w:t>
      </w:r>
      <w:r w:rsidR="00834972" w:rsidRPr="00511E01">
        <w:rPr>
          <w:color w:val="000000" w:themeColor="text1"/>
          <w:sz w:val="22"/>
        </w:rPr>
        <w:t>s</w:t>
      </w:r>
      <w:proofErr w:type="spellEnd"/>
      <w:r w:rsidRPr="00511E01">
        <w:rPr>
          <w:color w:val="000000" w:themeColor="text1"/>
          <w:sz w:val="22"/>
        </w:rPr>
        <w:t xml:space="preserve">. Biol. </w:t>
      </w:r>
      <w:proofErr w:type="spellStart"/>
      <w:r w:rsidRPr="00511E01">
        <w:rPr>
          <w:color w:val="000000" w:themeColor="text1"/>
          <w:sz w:val="22"/>
        </w:rPr>
        <w:t>Radioecol</w:t>
      </w:r>
      <w:proofErr w:type="spellEnd"/>
      <w:r w:rsidRPr="00511E01">
        <w:rPr>
          <w:color w:val="000000" w:themeColor="text1"/>
          <w:sz w:val="22"/>
        </w:rPr>
        <w:t>. 57</w:t>
      </w:r>
      <w:r w:rsidR="00834972" w:rsidRPr="00511E01">
        <w:rPr>
          <w:color w:val="000000" w:themeColor="text1"/>
          <w:sz w:val="22"/>
        </w:rPr>
        <w:t>,</w:t>
      </w:r>
      <w:r w:rsidRPr="00511E01">
        <w:rPr>
          <w:color w:val="000000" w:themeColor="text1"/>
          <w:sz w:val="22"/>
        </w:rPr>
        <w:t xml:space="preserve"> 98–107.</w:t>
      </w:r>
    </w:p>
    <w:p w14:paraId="6F7F5682" w14:textId="06A9C0B2" w:rsidR="00CD07BB" w:rsidRPr="00EE2D62" w:rsidRDefault="00CD07BB" w:rsidP="00CD07BB">
      <w:pPr>
        <w:pStyle w:val="Annalstext"/>
        <w:ind w:left="284" w:hanging="284"/>
        <w:rPr>
          <w:color w:val="000000" w:themeColor="text1"/>
          <w:sz w:val="22"/>
        </w:rPr>
      </w:pPr>
      <w:r w:rsidRPr="00511E01">
        <w:rPr>
          <w:color w:val="000000" w:themeColor="text1"/>
          <w:sz w:val="22"/>
        </w:rPr>
        <w:t xml:space="preserve">Tyler, A.N., Dale, P., </w:t>
      </w:r>
      <w:proofErr w:type="spellStart"/>
      <w:r w:rsidRPr="00511E01">
        <w:rPr>
          <w:color w:val="000000" w:themeColor="text1"/>
          <w:sz w:val="22"/>
        </w:rPr>
        <w:t>Copplestone</w:t>
      </w:r>
      <w:proofErr w:type="spellEnd"/>
      <w:r w:rsidRPr="00511E01">
        <w:rPr>
          <w:color w:val="000000" w:themeColor="text1"/>
          <w:sz w:val="22"/>
        </w:rPr>
        <w:t>, D., et al., 2013. The radium legacy: Contaminated land and the committed effective dose from the ingestion of radium contaminated materials. Environ. Int. 59, 449–455.</w:t>
      </w:r>
    </w:p>
    <w:p w14:paraId="75C36331" w14:textId="611F21CF" w:rsidR="00EE2D62" w:rsidRPr="00511E01" w:rsidRDefault="00EE2D62" w:rsidP="00EE2D62">
      <w:pPr>
        <w:pStyle w:val="Annalstext"/>
        <w:ind w:left="284" w:hanging="284"/>
        <w:rPr>
          <w:color w:val="000000" w:themeColor="text1"/>
          <w:sz w:val="22"/>
        </w:rPr>
      </w:pPr>
      <w:proofErr w:type="spellStart"/>
      <w:r w:rsidRPr="00511E01">
        <w:rPr>
          <w:color w:val="000000" w:themeColor="text1"/>
          <w:sz w:val="22"/>
        </w:rPr>
        <w:t>Voillequé</w:t>
      </w:r>
      <w:proofErr w:type="spellEnd"/>
      <w:r w:rsidRPr="00511E01">
        <w:rPr>
          <w:color w:val="000000" w:themeColor="text1"/>
          <w:sz w:val="22"/>
        </w:rPr>
        <w:t>, P.G.</w:t>
      </w:r>
      <w:r w:rsidR="00B544BF" w:rsidRPr="00511E01">
        <w:rPr>
          <w:color w:val="000000" w:themeColor="text1"/>
          <w:sz w:val="22"/>
        </w:rPr>
        <w:t>,</w:t>
      </w:r>
      <w:r w:rsidRPr="00511E01">
        <w:rPr>
          <w:color w:val="000000" w:themeColor="text1"/>
          <w:sz w:val="22"/>
        </w:rPr>
        <w:t xml:space="preserve"> 1999a. Review of Routine Releases of Plutonium in Airborne Effluents at Rocky Flats. 06-CDPHE-RFP-1998-Final</w:t>
      </w:r>
      <w:r w:rsidR="00834972" w:rsidRPr="00511E01">
        <w:rPr>
          <w:color w:val="000000" w:themeColor="text1"/>
          <w:sz w:val="22"/>
        </w:rPr>
        <w:t>.</w:t>
      </w:r>
      <w:r w:rsidRPr="00511E01">
        <w:rPr>
          <w:color w:val="000000" w:themeColor="text1"/>
          <w:sz w:val="22"/>
        </w:rPr>
        <w:t xml:space="preserve"> Radiological Assessments Corporation, </w:t>
      </w:r>
      <w:proofErr w:type="spellStart"/>
      <w:r w:rsidRPr="00511E01">
        <w:rPr>
          <w:color w:val="000000" w:themeColor="text1"/>
          <w:sz w:val="22"/>
        </w:rPr>
        <w:t>Neeses</w:t>
      </w:r>
      <w:proofErr w:type="spellEnd"/>
      <w:r w:rsidRPr="00511E01">
        <w:rPr>
          <w:color w:val="000000" w:themeColor="text1"/>
          <w:sz w:val="22"/>
        </w:rPr>
        <w:t>, SC.</w:t>
      </w:r>
    </w:p>
    <w:p w14:paraId="63C13CB8" w14:textId="0DB7B958" w:rsidR="00EE2D62" w:rsidRPr="00511E01" w:rsidRDefault="00EE2D62" w:rsidP="00EE2D62">
      <w:pPr>
        <w:pStyle w:val="Annalstext"/>
        <w:ind w:left="284" w:hanging="284"/>
        <w:rPr>
          <w:color w:val="000000" w:themeColor="text1"/>
          <w:sz w:val="22"/>
        </w:rPr>
      </w:pPr>
      <w:proofErr w:type="spellStart"/>
      <w:r w:rsidRPr="00511E01">
        <w:rPr>
          <w:color w:val="000000" w:themeColor="text1"/>
          <w:sz w:val="22"/>
        </w:rPr>
        <w:lastRenderedPageBreak/>
        <w:t>Voillequé</w:t>
      </w:r>
      <w:proofErr w:type="spellEnd"/>
      <w:r w:rsidRPr="00511E01">
        <w:rPr>
          <w:color w:val="000000" w:themeColor="text1"/>
          <w:sz w:val="22"/>
        </w:rPr>
        <w:t>, P.G.</w:t>
      </w:r>
      <w:r w:rsidR="00B544BF" w:rsidRPr="00511E01">
        <w:rPr>
          <w:color w:val="000000" w:themeColor="text1"/>
          <w:sz w:val="22"/>
        </w:rPr>
        <w:t>,</w:t>
      </w:r>
      <w:r w:rsidRPr="00511E01">
        <w:rPr>
          <w:color w:val="000000" w:themeColor="text1"/>
          <w:sz w:val="22"/>
        </w:rPr>
        <w:t xml:space="preserve"> 1999b. Estimated Airborne Releases of Plutonium during the 1957 Fire in Building 71. 10-CDPHE-RFP-1999-Final</w:t>
      </w:r>
      <w:r w:rsidR="00834972" w:rsidRPr="00511E01">
        <w:rPr>
          <w:color w:val="000000" w:themeColor="text1"/>
          <w:sz w:val="22"/>
        </w:rPr>
        <w:t>.</w:t>
      </w:r>
      <w:r w:rsidRPr="00511E01">
        <w:rPr>
          <w:color w:val="000000" w:themeColor="text1"/>
          <w:sz w:val="22"/>
        </w:rPr>
        <w:t xml:space="preserve"> Radiological Assessments Corporation, </w:t>
      </w:r>
      <w:proofErr w:type="spellStart"/>
      <w:r w:rsidRPr="00511E01">
        <w:rPr>
          <w:color w:val="000000" w:themeColor="text1"/>
          <w:sz w:val="22"/>
        </w:rPr>
        <w:t>Neeses</w:t>
      </w:r>
      <w:proofErr w:type="spellEnd"/>
      <w:r w:rsidRPr="00511E01">
        <w:rPr>
          <w:color w:val="000000" w:themeColor="text1"/>
          <w:sz w:val="22"/>
        </w:rPr>
        <w:t>, SC.</w:t>
      </w:r>
    </w:p>
    <w:p w14:paraId="07434AAB" w14:textId="442706B6" w:rsidR="00EE2D62" w:rsidRPr="00511E01" w:rsidRDefault="00EE2D62" w:rsidP="00EE2D62">
      <w:pPr>
        <w:pStyle w:val="Annalstext"/>
        <w:ind w:left="284" w:hanging="284"/>
        <w:rPr>
          <w:color w:val="000000" w:themeColor="text1"/>
          <w:sz w:val="22"/>
        </w:rPr>
      </w:pPr>
      <w:proofErr w:type="spellStart"/>
      <w:r w:rsidRPr="00511E01">
        <w:rPr>
          <w:color w:val="000000" w:themeColor="text1"/>
          <w:sz w:val="22"/>
        </w:rPr>
        <w:t>Voillequé</w:t>
      </w:r>
      <w:proofErr w:type="spellEnd"/>
      <w:r w:rsidRPr="00511E01">
        <w:rPr>
          <w:color w:val="000000" w:themeColor="text1"/>
          <w:sz w:val="22"/>
        </w:rPr>
        <w:t>, P.G.</w:t>
      </w:r>
      <w:r w:rsidR="00B544BF" w:rsidRPr="00511E01">
        <w:rPr>
          <w:color w:val="000000" w:themeColor="text1"/>
          <w:sz w:val="22"/>
        </w:rPr>
        <w:t>,</w:t>
      </w:r>
      <w:r w:rsidRPr="00511E01">
        <w:rPr>
          <w:color w:val="000000" w:themeColor="text1"/>
          <w:sz w:val="22"/>
        </w:rPr>
        <w:t xml:space="preserve"> 1999c. Estimated Airborne Releases of Plutonium during the 1969 Fire in Building 776-777. 09-CDPHE-RFP-1999-Final</w:t>
      </w:r>
      <w:r w:rsidR="00834972" w:rsidRPr="00511E01">
        <w:rPr>
          <w:color w:val="000000" w:themeColor="text1"/>
          <w:sz w:val="22"/>
        </w:rPr>
        <w:t>.</w:t>
      </w:r>
      <w:r w:rsidRPr="00511E01">
        <w:rPr>
          <w:color w:val="000000" w:themeColor="text1"/>
          <w:sz w:val="22"/>
        </w:rPr>
        <w:t xml:space="preserve"> Radiological Assessments Corporation, </w:t>
      </w:r>
      <w:proofErr w:type="spellStart"/>
      <w:r w:rsidRPr="00511E01">
        <w:rPr>
          <w:color w:val="000000" w:themeColor="text1"/>
          <w:sz w:val="22"/>
        </w:rPr>
        <w:t>Neeses</w:t>
      </w:r>
      <w:proofErr w:type="spellEnd"/>
      <w:r w:rsidRPr="00511E01">
        <w:rPr>
          <w:color w:val="000000" w:themeColor="text1"/>
          <w:sz w:val="22"/>
        </w:rPr>
        <w:t>, SC.</w:t>
      </w:r>
    </w:p>
    <w:p w14:paraId="2340F865" w14:textId="68EF00D1" w:rsidR="00BE03BD" w:rsidRPr="001C6B1E" w:rsidRDefault="00EE2D62" w:rsidP="00EE2D62">
      <w:pPr>
        <w:pStyle w:val="Annalstext"/>
        <w:ind w:left="284" w:hanging="284"/>
        <w:rPr>
          <w:color w:val="000000" w:themeColor="text1"/>
          <w:szCs w:val="24"/>
        </w:rPr>
      </w:pPr>
      <w:r w:rsidRPr="00511E01">
        <w:rPr>
          <w:color w:val="000000" w:themeColor="text1"/>
          <w:sz w:val="22"/>
        </w:rPr>
        <w:t xml:space="preserve">Weber, J.M., Rood, </w:t>
      </w:r>
      <w:r w:rsidR="005077BF" w:rsidRPr="00511E01">
        <w:rPr>
          <w:color w:val="000000" w:themeColor="text1"/>
          <w:sz w:val="22"/>
        </w:rPr>
        <w:t xml:space="preserve">A.S., </w:t>
      </w:r>
      <w:r w:rsidRPr="00511E01">
        <w:rPr>
          <w:color w:val="000000" w:themeColor="text1"/>
          <w:sz w:val="22"/>
        </w:rPr>
        <w:t xml:space="preserve">Meyer, </w:t>
      </w:r>
      <w:r w:rsidR="005077BF" w:rsidRPr="00511E01">
        <w:rPr>
          <w:color w:val="000000" w:themeColor="text1"/>
          <w:sz w:val="22"/>
        </w:rPr>
        <w:t xml:space="preserve">H.R., </w:t>
      </w:r>
      <w:r w:rsidRPr="00511E01">
        <w:rPr>
          <w:color w:val="000000" w:themeColor="text1"/>
          <w:sz w:val="22"/>
        </w:rPr>
        <w:t>1998. Development of the Rocky Flats Plant 903 Area Plutonium Source Term. 08-CDPHE-RFP-1998 (Rev. 1)</w:t>
      </w:r>
      <w:r w:rsidR="005077BF" w:rsidRPr="00511E01">
        <w:rPr>
          <w:color w:val="000000" w:themeColor="text1"/>
          <w:sz w:val="22"/>
        </w:rPr>
        <w:t>.</w:t>
      </w:r>
      <w:r w:rsidRPr="00511E01">
        <w:rPr>
          <w:color w:val="000000" w:themeColor="text1"/>
          <w:sz w:val="22"/>
        </w:rPr>
        <w:t xml:space="preserve"> Radiological Assessments Corporation, </w:t>
      </w:r>
      <w:proofErr w:type="spellStart"/>
      <w:r w:rsidRPr="00511E01">
        <w:rPr>
          <w:color w:val="000000" w:themeColor="text1"/>
          <w:sz w:val="22"/>
        </w:rPr>
        <w:t>Neeses</w:t>
      </w:r>
      <w:proofErr w:type="spellEnd"/>
      <w:r w:rsidRPr="00511E01">
        <w:rPr>
          <w:color w:val="000000" w:themeColor="text1"/>
          <w:sz w:val="22"/>
        </w:rPr>
        <w:t>, SC.</w:t>
      </w:r>
      <w:r w:rsidR="00BE03BD">
        <w:rPr>
          <w:i/>
          <w:color w:val="000000" w:themeColor="text1"/>
          <w:lang w:val="en-US"/>
        </w:rPr>
        <w:br w:type="page"/>
      </w:r>
    </w:p>
    <w:p w14:paraId="64AD113F" w14:textId="1BEE1C30" w:rsidR="00BE03BD" w:rsidRPr="000C1A44" w:rsidRDefault="00BE03BD" w:rsidP="000C1A44">
      <w:pPr>
        <w:pStyle w:val="AnnalshdgA"/>
        <w:tabs>
          <w:tab w:val="clear" w:pos="8730"/>
        </w:tabs>
        <w:spacing w:before="480" w:after="480"/>
        <w:ind w:left="0" w:firstLine="0"/>
        <w:rPr>
          <w:color w:val="000000" w:themeColor="text1"/>
          <w:sz w:val="32"/>
          <w:szCs w:val="32"/>
        </w:rPr>
      </w:pPr>
      <w:bookmarkStart w:id="121" w:name="_Toc159397488"/>
      <w:bookmarkStart w:id="122" w:name="_Toc166586827"/>
      <w:r w:rsidRPr="000C1A44">
        <w:rPr>
          <w:color w:val="000000" w:themeColor="text1"/>
          <w:sz w:val="32"/>
          <w:szCs w:val="32"/>
        </w:rPr>
        <w:lastRenderedPageBreak/>
        <w:t>GLOSSARY</w:t>
      </w:r>
      <w:bookmarkEnd w:id="121"/>
      <w:bookmarkEnd w:id="122"/>
    </w:p>
    <w:p w14:paraId="574E04B8" w14:textId="77777777" w:rsidR="000C1A44" w:rsidRDefault="00BE03BD" w:rsidP="00667C97">
      <w:pPr>
        <w:spacing w:before="240" w:after="240"/>
        <w:jc w:val="both"/>
        <w:rPr>
          <w:lang w:val="en-US"/>
        </w:rPr>
      </w:pPr>
      <w:r w:rsidRPr="00122CDF">
        <w:rPr>
          <w:lang w:val="en-US"/>
        </w:rPr>
        <w:t>Integrated approach</w:t>
      </w:r>
    </w:p>
    <w:p w14:paraId="440E50D3" w14:textId="6415B822" w:rsidR="00BE03BD" w:rsidRPr="00122CDF" w:rsidRDefault="00BE03BD" w:rsidP="00667C97">
      <w:pPr>
        <w:spacing w:before="240" w:after="240"/>
        <w:ind w:left="850"/>
        <w:jc w:val="both"/>
        <w:rPr>
          <w:lang w:val="en-US"/>
        </w:rPr>
      </w:pPr>
      <w:r w:rsidRPr="00667C97">
        <w:rPr>
          <w:caps/>
          <w:lang w:val="en-US"/>
        </w:rPr>
        <w:t>t</w:t>
      </w:r>
      <w:r w:rsidRPr="00122CDF">
        <w:rPr>
          <w:lang w:val="en-US"/>
        </w:rPr>
        <w:t xml:space="preserve">he term integrated approach in this report </w:t>
      </w:r>
      <w:r>
        <w:rPr>
          <w:lang w:val="en-US"/>
        </w:rPr>
        <w:t>means</w:t>
      </w:r>
      <w:r w:rsidRPr="00561A05">
        <w:rPr>
          <w:lang w:val="en-US"/>
        </w:rPr>
        <w:t xml:space="preserve"> that remedia</w:t>
      </w:r>
      <w:r>
        <w:rPr>
          <w:lang w:val="en-US"/>
        </w:rPr>
        <w:t>l</w:t>
      </w:r>
      <w:r w:rsidRPr="00561A05">
        <w:rPr>
          <w:lang w:val="en-US"/>
        </w:rPr>
        <w:t xml:space="preserve"> actions should be taken to ensure </w:t>
      </w:r>
      <w:r w:rsidRPr="00122CDF">
        <w:rPr>
          <w:lang w:val="en-US"/>
        </w:rPr>
        <w:t xml:space="preserve">both the protection of people and the environment. The radiological and non‑radiological impacts on the environment from remedial actions that are intended to reduce public exposure should be considered </w:t>
      </w:r>
      <w:proofErr w:type="gramStart"/>
      <w:r w:rsidRPr="00122CDF">
        <w:rPr>
          <w:lang w:val="en-US"/>
        </w:rPr>
        <w:t>in order to</w:t>
      </w:r>
      <w:proofErr w:type="gramEnd"/>
      <w:r w:rsidRPr="00122CDF">
        <w:rPr>
          <w:lang w:val="en-US"/>
        </w:rPr>
        <w:t xml:space="preserve"> determine the overall benefits gained from the remediation.</w:t>
      </w:r>
    </w:p>
    <w:p w14:paraId="0F843BCF" w14:textId="77777777" w:rsidR="000C1A44" w:rsidRDefault="00BE03BD" w:rsidP="00667C97">
      <w:pPr>
        <w:spacing w:before="240" w:after="240"/>
        <w:jc w:val="both"/>
        <w:rPr>
          <w:lang w:val="en-US"/>
        </w:rPr>
      </w:pPr>
      <w:r>
        <w:rPr>
          <w:lang w:val="en-US"/>
        </w:rPr>
        <w:t>All hazards</w:t>
      </w:r>
      <w:r w:rsidRPr="00122CDF">
        <w:rPr>
          <w:lang w:val="en-US"/>
        </w:rPr>
        <w:t xml:space="preserve"> </w:t>
      </w:r>
      <w:proofErr w:type="gramStart"/>
      <w:r w:rsidRPr="00122CDF">
        <w:rPr>
          <w:lang w:val="en-US"/>
        </w:rPr>
        <w:t>approach</w:t>
      </w:r>
      <w:proofErr w:type="gramEnd"/>
    </w:p>
    <w:p w14:paraId="45A04D38" w14:textId="04613DD3" w:rsidR="00BE03BD" w:rsidRDefault="00BE03BD" w:rsidP="00667C97">
      <w:pPr>
        <w:spacing w:before="240" w:after="240"/>
        <w:ind w:left="850"/>
        <w:jc w:val="both"/>
        <w:rPr>
          <w:lang w:val="en-US"/>
        </w:rPr>
      </w:pPr>
      <w:r w:rsidRPr="00667C97">
        <w:rPr>
          <w:caps/>
          <w:lang w:val="en-US"/>
        </w:rPr>
        <w:t>t</w:t>
      </w:r>
      <w:r w:rsidRPr="00122CDF">
        <w:rPr>
          <w:lang w:val="en-US"/>
        </w:rPr>
        <w:t xml:space="preserve">he term </w:t>
      </w:r>
      <w:r>
        <w:rPr>
          <w:lang w:val="en-US"/>
        </w:rPr>
        <w:t>all hazards</w:t>
      </w:r>
      <w:r w:rsidRPr="00122CDF">
        <w:rPr>
          <w:lang w:val="en-US"/>
        </w:rPr>
        <w:t xml:space="preserve"> approach in this report </w:t>
      </w:r>
      <w:r>
        <w:rPr>
          <w:lang w:val="en-US"/>
        </w:rPr>
        <w:t>means</w:t>
      </w:r>
      <w:r w:rsidRPr="00122CDF">
        <w:rPr>
          <w:lang w:val="en-US"/>
        </w:rPr>
        <w:t xml:space="preserve"> that </w:t>
      </w:r>
      <w:r w:rsidRPr="00817FDB">
        <w:rPr>
          <w:lang w:val="en-US"/>
        </w:rPr>
        <w:t>radiological</w:t>
      </w:r>
      <w:r w:rsidRPr="00122CDF">
        <w:rPr>
          <w:lang w:val="en-US"/>
        </w:rPr>
        <w:t xml:space="preserve"> and non‑radiological </w:t>
      </w:r>
      <w:r>
        <w:rPr>
          <w:lang w:val="en-US"/>
        </w:rPr>
        <w:t xml:space="preserve">hazards </w:t>
      </w:r>
      <w:r w:rsidRPr="00122CDF">
        <w:rPr>
          <w:lang w:val="en-US"/>
        </w:rPr>
        <w:t>should be</w:t>
      </w:r>
      <w:r>
        <w:rPr>
          <w:lang w:val="en-US"/>
        </w:rPr>
        <w:t xml:space="preserve"> considered together while</w:t>
      </w:r>
      <w:r w:rsidRPr="00122CDF">
        <w:rPr>
          <w:lang w:val="en-US"/>
        </w:rPr>
        <w:t xml:space="preserve"> </w:t>
      </w:r>
      <w:r>
        <w:rPr>
          <w:lang w:val="en-US"/>
        </w:rPr>
        <w:t>defining</w:t>
      </w:r>
      <w:r w:rsidRPr="00122CDF">
        <w:rPr>
          <w:lang w:val="en-US"/>
        </w:rPr>
        <w:t xml:space="preserve"> </w:t>
      </w:r>
      <w:r>
        <w:rPr>
          <w:lang w:val="en-US"/>
        </w:rPr>
        <w:t>the best protection</w:t>
      </w:r>
      <w:r w:rsidRPr="00122CDF">
        <w:rPr>
          <w:lang w:val="en-US"/>
        </w:rPr>
        <w:t xml:space="preserve"> strategy</w:t>
      </w:r>
      <w:r>
        <w:rPr>
          <w:lang w:val="en-US"/>
        </w:rPr>
        <w:t xml:space="preserve">. The options being considered should seek </w:t>
      </w:r>
      <w:r w:rsidRPr="00122CDF">
        <w:rPr>
          <w:lang w:val="en-US"/>
        </w:rPr>
        <w:t>an overall balance of risk</w:t>
      </w:r>
      <w:r>
        <w:rPr>
          <w:lang w:val="en-US"/>
        </w:rPr>
        <w:t>s</w:t>
      </w:r>
      <w:r w:rsidRPr="00122CDF">
        <w:rPr>
          <w:lang w:val="en-US"/>
        </w:rPr>
        <w:t xml:space="preserve"> and benefit</w:t>
      </w:r>
      <w:r>
        <w:rPr>
          <w:lang w:val="en-US"/>
        </w:rPr>
        <w:t>s</w:t>
      </w:r>
      <w:r w:rsidRPr="00122CDF">
        <w:rPr>
          <w:lang w:val="en-US"/>
        </w:rPr>
        <w:t xml:space="preserve"> </w:t>
      </w:r>
      <w:r w:rsidRPr="00817FDB">
        <w:rPr>
          <w:lang w:val="en-US"/>
        </w:rPr>
        <w:t>for the</w:t>
      </w:r>
      <w:r w:rsidRPr="00122CDF">
        <w:rPr>
          <w:lang w:val="en-US"/>
        </w:rPr>
        <w:t xml:space="preserve"> protection of people and the environment, now and in the future.</w:t>
      </w:r>
    </w:p>
    <w:p w14:paraId="696A14CF" w14:textId="77777777" w:rsidR="000C1A44" w:rsidRDefault="00BE03BD" w:rsidP="00667C97">
      <w:pPr>
        <w:spacing w:before="240" w:after="240"/>
        <w:jc w:val="both"/>
        <w:rPr>
          <w:lang w:val="en-US"/>
        </w:rPr>
      </w:pPr>
      <w:r>
        <w:rPr>
          <w:lang w:val="en-US"/>
        </w:rPr>
        <w:t>Remediation</w:t>
      </w:r>
    </w:p>
    <w:p w14:paraId="0E85F729" w14:textId="388A04B0" w:rsidR="004C4E9F" w:rsidRDefault="00BE03BD" w:rsidP="00667C97">
      <w:pPr>
        <w:spacing w:before="240" w:after="240"/>
        <w:ind w:left="850"/>
        <w:jc w:val="both"/>
      </w:pPr>
      <w:r w:rsidRPr="00667C97">
        <w:rPr>
          <w:caps/>
        </w:rPr>
        <w:t>r</w:t>
      </w:r>
      <w:r w:rsidRPr="00B646B7">
        <w:t>emediation is defined as the process to reduce radiation exposure, or to reduce the probability of such exposures being received, through actions to remove the contamination (decontamination) or to modify the exposure pathways</w:t>
      </w:r>
      <w:r>
        <w:t>.</w:t>
      </w:r>
    </w:p>
    <w:p w14:paraId="21E295CD" w14:textId="33963E5B" w:rsidR="0085459F" w:rsidRDefault="0085459F" w:rsidP="0085459F">
      <w:pPr>
        <w:spacing w:before="240" w:after="240"/>
        <w:jc w:val="both"/>
      </w:pPr>
      <w:r>
        <w:t>Exposures not certain to occur</w:t>
      </w:r>
    </w:p>
    <w:p w14:paraId="25E2F4AA" w14:textId="62245B95" w:rsidR="0085459F" w:rsidRDefault="00513722" w:rsidP="009B45E7">
      <w:pPr>
        <w:spacing w:before="240" w:after="240"/>
        <w:ind w:left="851"/>
        <w:jc w:val="both"/>
      </w:pPr>
      <w:r>
        <w:t>Exposures not certain to occur</w:t>
      </w:r>
      <w:r w:rsidR="008C6F53">
        <w:t>, as used</w:t>
      </w:r>
      <w:r>
        <w:t xml:space="preserve"> in this report</w:t>
      </w:r>
      <w:r w:rsidR="008C6F53">
        <w:t>,</w:t>
      </w:r>
      <w:r>
        <w:t xml:space="preserve"> means those e</w:t>
      </w:r>
      <w:r w:rsidR="0085459F" w:rsidRPr="0085459F">
        <w:t>xposures arising from con</w:t>
      </w:r>
      <w:r w:rsidR="0085459F">
        <w:t>taminated areas over the medium</w:t>
      </w:r>
      <w:r w:rsidR="0085459F" w:rsidRPr="0085459F">
        <w:t xml:space="preserve"> and long</w:t>
      </w:r>
      <w:r w:rsidR="00F64CCA">
        <w:t xml:space="preserve"> </w:t>
      </w:r>
      <w:r w:rsidR="0085459F" w:rsidRPr="0085459F">
        <w:t xml:space="preserve">term </w:t>
      </w:r>
      <w:r w:rsidR="0085459F">
        <w:t xml:space="preserve">that </w:t>
      </w:r>
      <w:r w:rsidR="009B45E7">
        <w:t>are not expected to be delivered with certainty</w:t>
      </w:r>
      <w:r w:rsidR="008C6F53">
        <w:t xml:space="preserve">. These </w:t>
      </w:r>
      <w:r w:rsidR="007309F1">
        <w:t>exposures</w:t>
      </w:r>
      <w:r w:rsidR="008C6F53">
        <w:t xml:space="preserve"> </w:t>
      </w:r>
      <w:r w:rsidR="009B45E7">
        <w:t xml:space="preserve">may result from a sequence of events of a probabilistic nature, </w:t>
      </w:r>
      <w:r w:rsidR="00EC5781">
        <w:t xml:space="preserve">such as </w:t>
      </w:r>
      <w:r w:rsidR="00EC5781" w:rsidRPr="00EC5781">
        <w:t xml:space="preserve">potential transport </w:t>
      </w:r>
      <w:r>
        <w:t>or exposure pathways, or</w:t>
      </w:r>
      <w:r w:rsidR="00EC5781" w:rsidRPr="00EC5781">
        <w:t xml:space="preserve"> </w:t>
      </w:r>
      <w:r w:rsidR="008C6F53">
        <w:t xml:space="preserve">they may be </w:t>
      </w:r>
      <w:r>
        <w:t xml:space="preserve">due to </w:t>
      </w:r>
      <w:r w:rsidR="00EC5781" w:rsidRPr="00EC5781">
        <w:t>special characteristic</w:t>
      </w:r>
      <w:r>
        <w:t xml:space="preserve">s of the source (for example, </w:t>
      </w:r>
      <w:r w:rsidR="00EC5781" w:rsidRPr="00EC5781">
        <w:t xml:space="preserve">cases of heterogeneous contamination) </w:t>
      </w:r>
      <w:r w:rsidR="00EC5781">
        <w:t xml:space="preserve">that </w:t>
      </w:r>
      <w:r w:rsidR="00EC5781" w:rsidRPr="00EC5781">
        <w:t>could lead in the future to higher exposures</w:t>
      </w:r>
      <w:r w:rsidR="00D36A5D">
        <w:t xml:space="preserve"> and </w:t>
      </w:r>
      <w:r w:rsidR="009B45E7">
        <w:t>that</w:t>
      </w:r>
      <w:r w:rsidR="0085459F">
        <w:t xml:space="preserve"> </w:t>
      </w:r>
      <w:r w:rsidR="0085459F" w:rsidRPr="0085459F">
        <w:t xml:space="preserve">should also be </w:t>
      </w:r>
      <w:r w:rsidR="00D36A5D" w:rsidRPr="00D36A5D">
        <w:t xml:space="preserve">assessed to define an appropriate remediation process. </w:t>
      </w:r>
    </w:p>
    <w:p w14:paraId="3BF85806" w14:textId="77777777" w:rsidR="0085459F" w:rsidRPr="00BE03BD" w:rsidRDefault="0085459F" w:rsidP="00667C97">
      <w:pPr>
        <w:spacing w:before="240" w:after="240"/>
        <w:ind w:left="850"/>
        <w:jc w:val="both"/>
      </w:pPr>
    </w:p>
    <w:p w14:paraId="4467A9C6" w14:textId="77777777" w:rsidR="0042465B" w:rsidRPr="00AF2A12" w:rsidRDefault="0042465B" w:rsidP="00261A20">
      <w:pPr>
        <w:pStyle w:val="AnnalshdgA"/>
        <w:tabs>
          <w:tab w:val="clear" w:pos="8730"/>
        </w:tabs>
        <w:ind w:left="0" w:firstLine="0"/>
        <w:jc w:val="left"/>
        <w:rPr>
          <w:color w:val="000000" w:themeColor="text1"/>
        </w:rPr>
        <w:sectPr w:rsidR="0042465B" w:rsidRPr="00AF2A12" w:rsidSect="00D43963">
          <w:pgSz w:w="11900" w:h="16840" w:code="9"/>
          <w:pgMar w:top="1440" w:right="1440" w:bottom="1440" w:left="1440" w:header="720" w:footer="720" w:gutter="0"/>
          <w:lnNumType w:countBy="1" w:restart="continuous"/>
          <w:cols w:space="720"/>
          <w:noEndnote/>
          <w:docGrid w:linePitch="326"/>
        </w:sectPr>
      </w:pPr>
    </w:p>
    <w:p w14:paraId="57E8EE84" w14:textId="77777777" w:rsidR="004A6135" w:rsidRPr="00AF2A12" w:rsidRDefault="003970A7">
      <w:pPr>
        <w:pStyle w:val="AnnalshdgA"/>
        <w:tabs>
          <w:tab w:val="clear" w:pos="8730"/>
        </w:tabs>
        <w:ind w:left="0" w:firstLine="0"/>
        <w:rPr>
          <w:color w:val="000000" w:themeColor="text1"/>
          <w:szCs w:val="28"/>
        </w:rPr>
      </w:pPr>
      <w:bookmarkStart w:id="123" w:name="_Toc117873848"/>
      <w:bookmarkStart w:id="124" w:name="_Toc159397489"/>
      <w:bookmarkStart w:id="125" w:name="_Toc166586828"/>
      <w:bookmarkEnd w:id="45"/>
      <w:r w:rsidRPr="00AF2A12">
        <w:rPr>
          <w:color w:val="000000" w:themeColor="text1"/>
          <w:szCs w:val="28"/>
        </w:rPr>
        <w:lastRenderedPageBreak/>
        <w:t>ACKNOWLEDGEMENTS</w:t>
      </w:r>
      <w:bookmarkEnd w:id="123"/>
      <w:bookmarkEnd w:id="124"/>
      <w:bookmarkEnd w:id="125"/>
    </w:p>
    <w:p w14:paraId="62BDE1F9" w14:textId="77777777" w:rsidR="002A1771" w:rsidRDefault="002A1771" w:rsidP="002A1771">
      <w:pPr>
        <w:widowControl w:val="0"/>
        <w:suppressAutoHyphens/>
        <w:spacing w:before="240" w:after="240"/>
        <w:jc w:val="both"/>
        <w:textAlignment w:val="baseline"/>
        <w:rPr>
          <w:rFonts w:cstheme="minorHAnsi"/>
        </w:rPr>
      </w:pPr>
      <w:r w:rsidRPr="0029211D">
        <w:rPr>
          <w:rFonts w:cstheme="minorHAnsi"/>
        </w:rPr>
        <w:t>ICRP Task Group 98 was established in November 2014 to</w:t>
      </w:r>
      <w:r w:rsidRPr="006F2AE8">
        <w:t xml:space="preserve"> </w:t>
      </w:r>
      <w:r w:rsidRPr="0029211D">
        <w:rPr>
          <w:rFonts w:cstheme="minorHAnsi"/>
        </w:rPr>
        <w:t xml:space="preserve">develop a report that describes and clarifies the application of the Commission’s Recommendations on radiological protection of workers, the public, and environment </w:t>
      </w:r>
      <w:r>
        <w:rPr>
          <w:rFonts w:cstheme="minorHAnsi"/>
        </w:rPr>
        <w:t xml:space="preserve">in contaminated </w:t>
      </w:r>
      <w:r w:rsidRPr="0029211D">
        <w:rPr>
          <w:rFonts w:cstheme="minorHAnsi"/>
        </w:rPr>
        <w:t>areas where radioactivity is present because of past activities, excluding exposures in the post-accidental phase after a nuclear emergency.</w:t>
      </w:r>
    </w:p>
    <w:p w14:paraId="2992EC9E" w14:textId="77777777" w:rsidR="002A1771" w:rsidRDefault="002A1771" w:rsidP="002A1771">
      <w:pPr>
        <w:widowControl w:val="0"/>
        <w:suppressAutoHyphens/>
        <w:spacing w:before="240" w:after="240"/>
        <w:jc w:val="both"/>
        <w:textAlignment w:val="baseline"/>
        <w:rPr>
          <w:rFonts w:cstheme="minorHAnsi"/>
        </w:rPr>
      </w:pPr>
      <w:r w:rsidRPr="0029211D">
        <w:rPr>
          <w:rFonts w:cstheme="minorHAnsi"/>
        </w:rPr>
        <w:t>ICRP thanks all those involved in the development of this publication for their hard work and dedication over many years.</w:t>
      </w:r>
    </w:p>
    <w:p w14:paraId="048C371A" w14:textId="77777777" w:rsidR="002A1771" w:rsidRPr="00883D75" w:rsidRDefault="002A1771" w:rsidP="002A1771">
      <w:pPr>
        <w:widowControl w:val="0"/>
        <w:suppressAutoHyphens/>
        <w:spacing w:before="240" w:after="240"/>
        <w:jc w:val="both"/>
        <w:textAlignment w:val="baseline"/>
        <w:rPr>
          <w:rFonts w:cstheme="minorHAnsi"/>
          <w:b/>
          <w:bCs/>
          <w:i/>
          <w:iCs/>
          <w:kern w:val="2"/>
          <w:lang w:eastAsia="zh-CN"/>
        </w:rPr>
      </w:pPr>
      <w:r w:rsidRPr="00883D75">
        <w:rPr>
          <w:rFonts w:cstheme="minorHAnsi"/>
          <w:b/>
          <w:bCs/>
          <w:kern w:val="2"/>
          <w:lang w:eastAsia="zh-CN"/>
        </w:rPr>
        <w:t xml:space="preserve">Task Group </w:t>
      </w:r>
      <w:r>
        <w:rPr>
          <w:rFonts w:cstheme="minorHAnsi"/>
          <w:b/>
          <w:bCs/>
          <w:kern w:val="2"/>
          <w:lang w:eastAsia="zh-CN"/>
        </w:rPr>
        <w:t>98</w:t>
      </w:r>
      <w:r w:rsidRPr="00883D75">
        <w:rPr>
          <w:rFonts w:cstheme="minorHAnsi"/>
          <w:b/>
          <w:bCs/>
          <w:kern w:val="2"/>
          <w:lang w:eastAsia="zh-CN"/>
        </w:rPr>
        <w:t xml:space="preserve"> members </w:t>
      </w:r>
      <w:r w:rsidRPr="00883D75">
        <w:rPr>
          <w:rFonts w:cstheme="minorHAnsi"/>
          <w:b/>
          <w:bCs/>
          <w:i/>
          <w:iCs/>
          <w:kern w:val="2"/>
          <w:lang w:eastAsia="zh-CN"/>
        </w:rPr>
        <w:t>(201</w:t>
      </w:r>
      <w:r>
        <w:rPr>
          <w:rFonts w:cstheme="minorHAnsi"/>
          <w:b/>
          <w:bCs/>
          <w:i/>
          <w:iCs/>
          <w:kern w:val="2"/>
          <w:lang w:eastAsia="zh-CN"/>
        </w:rPr>
        <w:t>4</w:t>
      </w:r>
      <w:r w:rsidRPr="00883D75">
        <w:rPr>
          <w:rFonts w:cstheme="minorHAnsi"/>
          <w:i/>
          <w:iCs/>
          <w:kern w:val="2"/>
          <w:lang w:eastAsia="zh-CN"/>
        </w:rPr>
        <w:t>–</w:t>
      </w:r>
      <w:r>
        <w:rPr>
          <w:rFonts w:cstheme="minorHAnsi"/>
          <w:b/>
          <w:bCs/>
          <w:i/>
          <w:iCs/>
          <w:kern w:val="2"/>
          <w:lang w:eastAsia="zh-CN"/>
        </w:rPr>
        <w:t>present</w:t>
      </w:r>
      <w:r w:rsidRPr="00883D75">
        <w:rPr>
          <w:rFonts w:cstheme="minorHAnsi"/>
          <w:b/>
          <w:bCs/>
          <w:i/>
          <w:iCs/>
          <w:kern w:val="2"/>
          <w:lang w:eastAsia="zh-CN"/>
        </w:rPr>
        <w:t>)</w:t>
      </w:r>
    </w:p>
    <w:tbl>
      <w:tblPr>
        <w:tblW w:w="9180" w:type="dxa"/>
        <w:tblInd w:w="-108" w:type="dxa"/>
        <w:tblLook w:val="0000" w:firstRow="0" w:lastRow="0" w:firstColumn="0" w:lastColumn="0" w:noHBand="0" w:noVBand="0"/>
      </w:tblPr>
      <w:tblGrid>
        <w:gridCol w:w="3369"/>
        <w:gridCol w:w="3118"/>
        <w:gridCol w:w="2693"/>
      </w:tblGrid>
      <w:tr w:rsidR="002A1771" w:rsidRPr="00883D75" w14:paraId="523C74B8" w14:textId="77777777" w:rsidTr="00D84B3E">
        <w:tc>
          <w:tcPr>
            <w:tcW w:w="3369" w:type="dxa"/>
            <w:shd w:val="clear" w:color="auto" w:fill="auto"/>
          </w:tcPr>
          <w:p w14:paraId="122AA1C9" w14:textId="77777777" w:rsidR="002A1771" w:rsidRPr="005305AB" w:rsidRDefault="002A1771" w:rsidP="00D84B3E">
            <w:pPr>
              <w:widowControl w:val="0"/>
              <w:suppressAutoHyphens/>
              <w:textAlignment w:val="baseline"/>
              <w:rPr>
                <w:rFonts w:cstheme="minorHAnsi"/>
                <w:color w:val="000000" w:themeColor="text1"/>
                <w:kern w:val="2"/>
                <w:lang w:eastAsia="zh-CN"/>
              </w:rPr>
            </w:pPr>
            <w:r w:rsidRPr="005305AB">
              <w:rPr>
                <w:rFonts w:cstheme="minorHAnsi"/>
                <w:color w:val="000000" w:themeColor="text1"/>
                <w:kern w:val="2"/>
                <w:lang w:eastAsia="zh-CN"/>
              </w:rPr>
              <w:t>M. Boyd (Chair)</w:t>
            </w:r>
          </w:p>
        </w:tc>
        <w:tc>
          <w:tcPr>
            <w:tcW w:w="3118" w:type="dxa"/>
            <w:shd w:val="clear" w:color="auto" w:fill="auto"/>
          </w:tcPr>
          <w:p w14:paraId="088D5E7C" w14:textId="77777777" w:rsidR="002A1771" w:rsidRPr="005305AB" w:rsidRDefault="002A1771" w:rsidP="00D84B3E">
            <w:pPr>
              <w:widowControl w:val="0"/>
              <w:suppressAutoHyphens/>
              <w:textAlignment w:val="baseline"/>
              <w:rPr>
                <w:rFonts w:cstheme="minorHAnsi"/>
                <w:color w:val="000000" w:themeColor="text1"/>
                <w:kern w:val="2"/>
                <w:lang w:eastAsia="zh-CN"/>
              </w:rPr>
            </w:pPr>
            <w:r w:rsidRPr="005305AB">
              <w:rPr>
                <w:rFonts w:cstheme="minorHAnsi"/>
                <w:color w:val="000000" w:themeColor="text1"/>
                <w:kern w:val="2"/>
                <w:lang w:eastAsia="zh-CN"/>
              </w:rPr>
              <w:t>S. Long</w:t>
            </w:r>
            <w:r w:rsidRPr="005305AB" w:rsidDel="00A10B03">
              <w:rPr>
                <w:rFonts w:cstheme="minorHAnsi"/>
                <w:color w:val="000000" w:themeColor="text1"/>
                <w:kern w:val="2"/>
                <w:lang w:eastAsia="zh-CN"/>
              </w:rPr>
              <w:t xml:space="preserve"> </w:t>
            </w:r>
          </w:p>
        </w:tc>
        <w:tc>
          <w:tcPr>
            <w:tcW w:w="2693" w:type="dxa"/>
            <w:shd w:val="clear" w:color="auto" w:fill="auto"/>
          </w:tcPr>
          <w:p w14:paraId="326E72F2" w14:textId="77777777" w:rsidR="002A1771" w:rsidRPr="005305AB" w:rsidRDefault="002A1771" w:rsidP="00D84B3E">
            <w:pPr>
              <w:widowControl w:val="0"/>
              <w:suppressAutoHyphens/>
              <w:textAlignment w:val="baseline"/>
              <w:rPr>
                <w:rFonts w:cstheme="minorHAnsi"/>
                <w:color w:val="000000" w:themeColor="text1"/>
                <w:kern w:val="2"/>
                <w:lang w:eastAsia="zh-CN"/>
              </w:rPr>
            </w:pPr>
            <w:r w:rsidRPr="005305AB">
              <w:rPr>
                <w:rFonts w:cstheme="minorHAnsi"/>
                <w:color w:val="000000" w:themeColor="text1"/>
                <w:kern w:val="2"/>
                <w:lang w:eastAsia="zh-CN"/>
              </w:rPr>
              <w:t>G. Smith</w:t>
            </w:r>
            <w:r w:rsidRPr="005305AB" w:rsidDel="00A10B03">
              <w:rPr>
                <w:rFonts w:cstheme="minorHAnsi"/>
                <w:color w:val="000000" w:themeColor="text1"/>
                <w:kern w:val="2"/>
                <w:lang w:eastAsia="zh-CN"/>
              </w:rPr>
              <w:t xml:space="preserve"> </w:t>
            </w:r>
          </w:p>
        </w:tc>
      </w:tr>
      <w:tr w:rsidR="002A1771" w:rsidRPr="00883D75" w14:paraId="7B6AFA68" w14:textId="77777777" w:rsidTr="00D84B3E">
        <w:tc>
          <w:tcPr>
            <w:tcW w:w="3369" w:type="dxa"/>
            <w:shd w:val="clear" w:color="auto" w:fill="auto"/>
          </w:tcPr>
          <w:p w14:paraId="7456A9A2" w14:textId="77777777" w:rsidR="002A1771" w:rsidRPr="005305AB" w:rsidRDefault="002A1771" w:rsidP="00D84B3E">
            <w:pPr>
              <w:widowControl w:val="0"/>
              <w:suppressAutoHyphens/>
              <w:textAlignment w:val="baseline"/>
              <w:rPr>
                <w:rFonts w:cstheme="minorHAnsi"/>
                <w:color w:val="000000" w:themeColor="text1"/>
                <w:kern w:val="2"/>
                <w:lang w:eastAsia="zh-CN"/>
              </w:rPr>
            </w:pPr>
            <w:r w:rsidRPr="005305AB">
              <w:rPr>
                <w:rFonts w:cstheme="minorHAnsi"/>
                <w:color w:val="000000" w:themeColor="text1"/>
                <w:kern w:val="2"/>
                <w:lang w:eastAsia="zh-CN"/>
              </w:rPr>
              <w:t>A. Canoba</w:t>
            </w:r>
            <w:r>
              <w:rPr>
                <w:rFonts w:cstheme="minorHAnsi"/>
                <w:color w:val="000000" w:themeColor="text1"/>
                <w:kern w:val="2"/>
                <w:lang w:eastAsia="zh-CN"/>
              </w:rPr>
              <w:t xml:space="preserve"> (Vice-chair)</w:t>
            </w:r>
          </w:p>
        </w:tc>
        <w:tc>
          <w:tcPr>
            <w:tcW w:w="3118" w:type="dxa"/>
            <w:shd w:val="clear" w:color="auto" w:fill="auto"/>
          </w:tcPr>
          <w:p w14:paraId="3BB6902E" w14:textId="77777777" w:rsidR="002A1771" w:rsidRPr="005305AB" w:rsidRDefault="002A1771" w:rsidP="00D84B3E">
            <w:pPr>
              <w:widowControl w:val="0"/>
              <w:suppressAutoHyphens/>
              <w:textAlignment w:val="baseline"/>
              <w:rPr>
                <w:rFonts w:cstheme="minorHAnsi"/>
                <w:color w:val="000000" w:themeColor="text1"/>
                <w:kern w:val="2"/>
                <w:lang w:eastAsia="zh-CN"/>
              </w:rPr>
            </w:pPr>
            <w:r w:rsidRPr="005305AB">
              <w:rPr>
                <w:rFonts w:cstheme="minorHAnsi"/>
                <w:color w:val="000000" w:themeColor="text1"/>
                <w:kern w:val="2"/>
                <w:lang w:eastAsia="zh-CN"/>
              </w:rPr>
              <w:t>C. McGuire</w:t>
            </w:r>
            <w:r w:rsidRPr="005305AB" w:rsidDel="00A10B03">
              <w:rPr>
                <w:rFonts w:cstheme="minorHAnsi"/>
                <w:color w:val="000000" w:themeColor="text1"/>
                <w:kern w:val="2"/>
                <w:lang w:eastAsia="zh-CN"/>
              </w:rPr>
              <w:t xml:space="preserve"> </w:t>
            </w:r>
          </w:p>
        </w:tc>
        <w:tc>
          <w:tcPr>
            <w:tcW w:w="2693" w:type="dxa"/>
            <w:shd w:val="clear" w:color="auto" w:fill="auto"/>
          </w:tcPr>
          <w:p w14:paraId="65C616F1" w14:textId="77777777" w:rsidR="002A1771" w:rsidRPr="005305AB" w:rsidRDefault="002A1771" w:rsidP="00D84B3E">
            <w:pPr>
              <w:widowControl w:val="0"/>
              <w:suppressAutoHyphens/>
              <w:textAlignment w:val="baseline"/>
              <w:rPr>
                <w:rFonts w:cstheme="minorHAnsi"/>
                <w:color w:val="000000" w:themeColor="text1"/>
                <w:kern w:val="2"/>
                <w:lang w:eastAsia="zh-CN"/>
              </w:rPr>
            </w:pPr>
            <w:r w:rsidRPr="005305AB">
              <w:rPr>
                <w:rFonts w:cstheme="minorHAnsi"/>
                <w:color w:val="000000" w:themeColor="text1"/>
                <w:kern w:val="2"/>
                <w:lang w:eastAsia="zh-CN"/>
              </w:rPr>
              <w:t>M. Sneve</w:t>
            </w:r>
            <w:r w:rsidRPr="005305AB" w:rsidDel="00A10B03">
              <w:rPr>
                <w:rFonts w:cstheme="minorHAnsi"/>
                <w:color w:val="000000" w:themeColor="text1"/>
                <w:kern w:val="2"/>
                <w:lang w:eastAsia="zh-CN"/>
              </w:rPr>
              <w:t xml:space="preserve"> </w:t>
            </w:r>
          </w:p>
        </w:tc>
      </w:tr>
      <w:tr w:rsidR="002A1771" w:rsidRPr="00883D75" w14:paraId="5440A8F3" w14:textId="77777777" w:rsidTr="00D84B3E">
        <w:tc>
          <w:tcPr>
            <w:tcW w:w="3369" w:type="dxa"/>
            <w:shd w:val="clear" w:color="auto" w:fill="auto"/>
          </w:tcPr>
          <w:p w14:paraId="52156656" w14:textId="77777777" w:rsidR="002A1771" w:rsidRPr="005305AB" w:rsidRDefault="002A1771" w:rsidP="00D84B3E">
            <w:pPr>
              <w:widowControl w:val="0"/>
              <w:suppressAutoHyphens/>
              <w:textAlignment w:val="baseline"/>
              <w:rPr>
                <w:rFonts w:cstheme="minorHAnsi"/>
                <w:color w:val="000000" w:themeColor="text1"/>
                <w:kern w:val="2"/>
                <w:lang w:eastAsia="zh-CN"/>
              </w:rPr>
            </w:pPr>
            <w:r w:rsidRPr="005305AB">
              <w:rPr>
                <w:rFonts w:cstheme="minorHAnsi"/>
                <w:color w:val="000000" w:themeColor="text1"/>
                <w:kern w:val="2"/>
                <w:lang w:eastAsia="zh-CN"/>
              </w:rPr>
              <w:t>L. Vaillant</w:t>
            </w:r>
            <w:r w:rsidRPr="005305AB" w:rsidDel="00A10B03">
              <w:rPr>
                <w:rFonts w:cstheme="minorHAnsi"/>
                <w:color w:val="000000" w:themeColor="text1"/>
                <w:kern w:val="2"/>
                <w:lang w:eastAsia="zh-CN"/>
              </w:rPr>
              <w:t xml:space="preserve"> </w:t>
            </w:r>
            <w:r>
              <w:rPr>
                <w:rFonts w:cstheme="minorHAnsi"/>
                <w:color w:val="000000" w:themeColor="text1"/>
                <w:kern w:val="2"/>
                <w:lang w:eastAsia="zh-CN"/>
              </w:rPr>
              <w:t>(Secretary)</w:t>
            </w:r>
          </w:p>
        </w:tc>
        <w:tc>
          <w:tcPr>
            <w:tcW w:w="3118" w:type="dxa"/>
            <w:shd w:val="clear" w:color="auto" w:fill="auto"/>
          </w:tcPr>
          <w:p w14:paraId="1A03C324" w14:textId="77777777" w:rsidR="002A1771" w:rsidRPr="005305AB" w:rsidRDefault="002A1771" w:rsidP="00D84B3E">
            <w:pPr>
              <w:widowControl w:val="0"/>
              <w:suppressAutoHyphens/>
              <w:snapToGrid w:val="0"/>
              <w:textAlignment w:val="baseline"/>
              <w:rPr>
                <w:rFonts w:cstheme="minorHAnsi"/>
                <w:color w:val="000000" w:themeColor="text1"/>
                <w:kern w:val="2"/>
                <w:lang w:eastAsia="zh-CN"/>
              </w:rPr>
            </w:pPr>
            <w:r w:rsidRPr="005305AB">
              <w:rPr>
                <w:rFonts w:cstheme="minorHAnsi"/>
                <w:color w:val="000000" w:themeColor="text1"/>
                <w:kern w:val="2"/>
                <w:lang w:eastAsia="zh-CN"/>
              </w:rPr>
              <w:t>A. Rood</w:t>
            </w:r>
            <w:r w:rsidRPr="005305AB" w:rsidDel="00A10B03">
              <w:rPr>
                <w:rFonts w:cstheme="minorHAnsi"/>
                <w:color w:val="000000" w:themeColor="text1"/>
                <w:kern w:val="2"/>
                <w:lang w:eastAsia="zh-CN"/>
              </w:rPr>
              <w:t xml:space="preserve"> </w:t>
            </w:r>
          </w:p>
        </w:tc>
        <w:tc>
          <w:tcPr>
            <w:tcW w:w="2693" w:type="dxa"/>
            <w:shd w:val="clear" w:color="auto" w:fill="auto"/>
          </w:tcPr>
          <w:p w14:paraId="1D620403" w14:textId="77777777" w:rsidR="002A1771" w:rsidRPr="005305AB" w:rsidRDefault="002A1771" w:rsidP="00D84B3E">
            <w:pPr>
              <w:widowControl w:val="0"/>
              <w:suppressAutoHyphens/>
              <w:snapToGrid w:val="0"/>
              <w:textAlignment w:val="baseline"/>
              <w:rPr>
                <w:rFonts w:cstheme="minorHAnsi"/>
                <w:color w:val="000000" w:themeColor="text1"/>
                <w:kern w:val="2"/>
                <w:lang w:eastAsia="zh-CN"/>
              </w:rPr>
            </w:pPr>
            <w:r w:rsidRPr="005305AB">
              <w:rPr>
                <w:rFonts w:cstheme="minorHAnsi"/>
                <w:color w:val="000000" w:themeColor="text1"/>
                <w:kern w:val="2"/>
                <w:lang w:eastAsia="zh-CN"/>
              </w:rPr>
              <w:t>T. Yankovich</w:t>
            </w:r>
            <w:r w:rsidRPr="005305AB" w:rsidDel="00A10B03">
              <w:rPr>
                <w:rFonts w:cstheme="minorHAnsi"/>
                <w:color w:val="000000" w:themeColor="text1"/>
                <w:kern w:val="2"/>
                <w:lang w:eastAsia="zh-CN"/>
              </w:rPr>
              <w:t xml:space="preserve"> </w:t>
            </w:r>
          </w:p>
        </w:tc>
      </w:tr>
      <w:tr w:rsidR="002A1771" w:rsidRPr="00883D75" w14:paraId="12845CED" w14:textId="77777777" w:rsidTr="00D84B3E">
        <w:tc>
          <w:tcPr>
            <w:tcW w:w="3369" w:type="dxa"/>
            <w:shd w:val="clear" w:color="auto" w:fill="auto"/>
          </w:tcPr>
          <w:p w14:paraId="4F9E6584" w14:textId="77777777" w:rsidR="002A1771" w:rsidRPr="005305AB" w:rsidRDefault="002A1771" w:rsidP="00D84B3E">
            <w:pPr>
              <w:widowControl w:val="0"/>
              <w:suppressAutoHyphens/>
              <w:textAlignment w:val="baseline"/>
              <w:rPr>
                <w:rFonts w:cstheme="minorHAnsi"/>
                <w:color w:val="000000" w:themeColor="text1"/>
                <w:kern w:val="2"/>
                <w:lang w:eastAsia="zh-CN"/>
              </w:rPr>
            </w:pPr>
            <w:r w:rsidRPr="005305AB">
              <w:rPr>
                <w:rFonts w:cstheme="minorHAnsi"/>
                <w:color w:val="000000" w:themeColor="text1"/>
                <w:kern w:val="2"/>
                <w:lang w:eastAsia="zh-CN"/>
              </w:rPr>
              <w:t>E. Lazo</w:t>
            </w:r>
            <w:r w:rsidRPr="005305AB" w:rsidDel="00A10B03">
              <w:rPr>
                <w:rFonts w:cstheme="minorHAnsi"/>
                <w:color w:val="000000" w:themeColor="text1"/>
                <w:kern w:val="2"/>
                <w:lang w:eastAsia="zh-CN"/>
              </w:rPr>
              <w:t xml:space="preserve"> </w:t>
            </w:r>
          </w:p>
        </w:tc>
        <w:tc>
          <w:tcPr>
            <w:tcW w:w="3118" w:type="dxa"/>
            <w:shd w:val="clear" w:color="auto" w:fill="auto"/>
          </w:tcPr>
          <w:p w14:paraId="0AA960BB" w14:textId="77777777" w:rsidR="002A1771" w:rsidRPr="005305AB" w:rsidRDefault="002A1771" w:rsidP="00D84B3E">
            <w:pPr>
              <w:widowControl w:val="0"/>
              <w:suppressAutoHyphens/>
              <w:snapToGrid w:val="0"/>
              <w:textAlignment w:val="baseline"/>
              <w:rPr>
                <w:rFonts w:cstheme="minorHAnsi"/>
                <w:color w:val="000000" w:themeColor="text1"/>
                <w:kern w:val="2"/>
                <w:lang w:eastAsia="zh-CN"/>
              </w:rPr>
            </w:pPr>
            <w:r w:rsidRPr="005305AB">
              <w:rPr>
                <w:rFonts w:cstheme="minorHAnsi"/>
                <w:color w:val="000000" w:themeColor="text1"/>
                <w:kern w:val="2"/>
                <w:lang w:eastAsia="zh-CN"/>
              </w:rPr>
              <w:t>S. Shinkarev</w:t>
            </w:r>
            <w:r w:rsidDel="00A10B03">
              <w:rPr>
                <w:rFonts w:cstheme="minorHAnsi"/>
                <w:color w:val="000000" w:themeColor="text1"/>
                <w:kern w:val="2"/>
                <w:lang w:eastAsia="zh-CN"/>
              </w:rPr>
              <w:t xml:space="preserve"> </w:t>
            </w:r>
          </w:p>
        </w:tc>
        <w:tc>
          <w:tcPr>
            <w:tcW w:w="2693" w:type="dxa"/>
            <w:shd w:val="clear" w:color="auto" w:fill="auto"/>
          </w:tcPr>
          <w:p w14:paraId="1EF0AF5E" w14:textId="77777777" w:rsidR="002A1771" w:rsidRPr="005305AB" w:rsidRDefault="002A1771" w:rsidP="00D84B3E">
            <w:pPr>
              <w:widowControl w:val="0"/>
              <w:suppressAutoHyphens/>
              <w:snapToGrid w:val="0"/>
              <w:textAlignment w:val="baseline"/>
              <w:rPr>
                <w:rFonts w:cstheme="minorHAnsi"/>
                <w:color w:val="000000" w:themeColor="text1"/>
                <w:kern w:val="2"/>
                <w:lang w:eastAsia="zh-CN"/>
              </w:rPr>
            </w:pPr>
            <w:r w:rsidRPr="00A10B03">
              <w:rPr>
                <w:rFonts w:cstheme="minorHAnsi"/>
                <w:color w:val="000000" w:themeColor="text1"/>
                <w:kern w:val="2"/>
                <w:lang w:eastAsia="zh-CN"/>
              </w:rPr>
              <w:t>H. Yasuda</w:t>
            </w:r>
            <w:r w:rsidRPr="00A10B03" w:rsidDel="00A10B03">
              <w:rPr>
                <w:rFonts w:cstheme="minorHAnsi"/>
                <w:color w:val="000000" w:themeColor="text1"/>
                <w:kern w:val="2"/>
                <w:lang w:eastAsia="zh-CN"/>
              </w:rPr>
              <w:t xml:space="preserve"> </w:t>
            </w:r>
          </w:p>
        </w:tc>
      </w:tr>
    </w:tbl>
    <w:p w14:paraId="7AEDB747" w14:textId="77777777" w:rsidR="002A1771" w:rsidRPr="00883D75" w:rsidRDefault="002A1771" w:rsidP="002A1771">
      <w:pPr>
        <w:widowControl w:val="0"/>
        <w:suppressAutoHyphens/>
        <w:spacing w:before="240" w:after="240"/>
        <w:jc w:val="both"/>
        <w:textAlignment w:val="baseline"/>
        <w:rPr>
          <w:rFonts w:cstheme="minorHAnsi"/>
          <w:b/>
          <w:bCs/>
          <w:kern w:val="2"/>
          <w:lang w:eastAsia="zh-CN"/>
        </w:rPr>
      </w:pPr>
      <w:r w:rsidRPr="00883D75">
        <w:rPr>
          <w:rFonts w:cstheme="minorHAnsi"/>
          <w:b/>
          <w:bCs/>
          <w:kern w:val="2"/>
          <w:lang w:eastAsia="zh-CN"/>
        </w:rPr>
        <w:t xml:space="preserve">Task Group </w:t>
      </w:r>
      <w:r>
        <w:rPr>
          <w:rFonts w:cstheme="minorHAnsi"/>
          <w:b/>
          <w:bCs/>
          <w:kern w:val="2"/>
          <w:lang w:eastAsia="zh-CN"/>
        </w:rPr>
        <w:t>98</w:t>
      </w:r>
      <w:r w:rsidRPr="00883D75">
        <w:rPr>
          <w:rFonts w:cstheme="minorHAnsi"/>
          <w:b/>
          <w:bCs/>
          <w:kern w:val="2"/>
          <w:lang w:eastAsia="zh-CN"/>
        </w:rPr>
        <w:t xml:space="preserve"> technical secretary</w:t>
      </w:r>
    </w:p>
    <w:p w14:paraId="0C9D0E11" w14:textId="77777777" w:rsidR="002A1771" w:rsidRPr="00A333F5" w:rsidRDefault="002A1771" w:rsidP="002A1771">
      <w:pPr>
        <w:widowControl w:val="0"/>
        <w:suppressAutoHyphens/>
        <w:spacing w:before="240" w:after="240"/>
        <w:jc w:val="both"/>
        <w:textAlignment w:val="baseline"/>
        <w:rPr>
          <w:rFonts w:cstheme="minorHAnsi"/>
          <w:color w:val="000000" w:themeColor="text1"/>
          <w:kern w:val="2"/>
          <w:lang w:eastAsia="zh-CN"/>
        </w:rPr>
      </w:pPr>
      <w:r w:rsidRPr="00A333F5">
        <w:rPr>
          <w:rFonts w:cstheme="minorHAnsi"/>
          <w:color w:val="000000" w:themeColor="text1"/>
          <w:kern w:val="2"/>
          <w:lang w:eastAsia="zh-CN"/>
        </w:rPr>
        <w:t>A. Ethier</w:t>
      </w:r>
    </w:p>
    <w:p w14:paraId="00314B9E" w14:textId="05275570" w:rsidR="002A1771" w:rsidRPr="00943CA7" w:rsidRDefault="002A1771" w:rsidP="002A1771">
      <w:pPr>
        <w:widowControl w:val="0"/>
        <w:suppressAutoHyphens/>
        <w:spacing w:before="240" w:after="240"/>
        <w:jc w:val="both"/>
        <w:textAlignment w:val="baseline"/>
        <w:rPr>
          <w:rFonts w:cstheme="minorHAnsi"/>
          <w:b/>
          <w:bCs/>
          <w:color w:val="000000" w:themeColor="text1"/>
          <w:kern w:val="2"/>
          <w:lang w:eastAsia="zh-CN"/>
        </w:rPr>
      </w:pPr>
      <w:r w:rsidRPr="00A333F5">
        <w:rPr>
          <w:rFonts w:cstheme="minorHAnsi"/>
          <w:b/>
          <w:bCs/>
          <w:color w:val="000000" w:themeColor="text1"/>
          <w:kern w:val="2"/>
          <w:lang w:eastAsia="zh-CN"/>
        </w:rPr>
        <w:t xml:space="preserve">Committee 4 </w:t>
      </w:r>
      <w:r>
        <w:rPr>
          <w:rFonts w:cstheme="minorHAnsi"/>
          <w:b/>
          <w:bCs/>
          <w:color w:val="000000" w:themeColor="text1"/>
          <w:kern w:val="2"/>
          <w:lang w:eastAsia="zh-CN"/>
        </w:rPr>
        <w:t>c</w:t>
      </w:r>
      <w:r w:rsidRPr="00A333F5">
        <w:rPr>
          <w:rFonts w:cstheme="minorHAnsi"/>
          <w:b/>
          <w:bCs/>
          <w:color w:val="000000" w:themeColor="text1"/>
          <w:kern w:val="2"/>
          <w:lang w:eastAsia="zh-CN"/>
        </w:rPr>
        <w:t xml:space="preserve">ritical </w:t>
      </w:r>
      <w:r>
        <w:rPr>
          <w:rFonts w:cstheme="minorHAnsi"/>
          <w:b/>
          <w:bCs/>
          <w:color w:val="000000" w:themeColor="text1"/>
          <w:kern w:val="2"/>
          <w:lang w:eastAsia="zh-CN"/>
        </w:rPr>
        <w:t>r</w:t>
      </w:r>
      <w:r w:rsidRPr="00A333F5">
        <w:rPr>
          <w:rFonts w:cstheme="minorHAnsi"/>
          <w:b/>
          <w:bCs/>
          <w:color w:val="000000" w:themeColor="text1"/>
          <w:kern w:val="2"/>
          <w:lang w:eastAsia="zh-CN"/>
        </w:rPr>
        <w:t>eviewer</w:t>
      </w:r>
      <w:r>
        <w:rPr>
          <w:rFonts w:cstheme="minorHAnsi"/>
          <w:b/>
          <w:bCs/>
          <w:color w:val="000000" w:themeColor="text1"/>
          <w:kern w:val="2"/>
          <w:lang w:eastAsia="zh-CN"/>
        </w:rPr>
        <w:t>s</w:t>
      </w:r>
    </w:p>
    <w:tbl>
      <w:tblPr>
        <w:tblW w:w="9072" w:type="dxa"/>
        <w:tblLook w:val="01E0" w:firstRow="1" w:lastRow="1" w:firstColumn="1" w:lastColumn="1" w:noHBand="0" w:noVBand="0"/>
      </w:tblPr>
      <w:tblGrid>
        <w:gridCol w:w="3212"/>
        <w:gridCol w:w="3216"/>
        <w:gridCol w:w="2644"/>
      </w:tblGrid>
      <w:tr w:rsidR="002A1771" w:rsidRPr="00562C27" w14:paraId="5C6B78A2" w14:textId="77777777" w:rsidTr="00D84B3E">
        <w:trPr>
          <w:trHeight w:val="80"/>
        </w:trPr>
        <w:tc>
          <w:tcPr>
            <w:tcW w:w="3212" w:type="dxa"/>
            <w:shd w:val="clear" w:color="auto" w:fill="auto"/>
          </w:tcPr>
          <w:p w14:paraId="7E2E8AAA" w14:textId="77777777" w:rsidR="002A1771" w:rsidRPr="00562C27" w:rsidRDefault="002A1771" w:rsidP="00D84B3E">
            <w:pPr>
              <w:pStyle w:val="ICRPbasicnospace"/>
            </w:pPr>
            <w:r>
              <w:rPr>
                <w:rFonts w:cstheme="minorHAnsi"/>
                <w:color w:val="000000" w:themeColor="text1"/>
                <w:kern w:val="2"/>
                <w:lang w:eastAsia="zh-CN"/>
              </w:rPr>
              <w:t>E. Gallego</w:t>
            </w:r>
          </w:p>
        </w:tc>
        <w:tc>
          <w:tcPr>
            <w:tcW w:w="3216" w:type="dxa"/>
            <w:shd w:val="clear" w:color="auto" w:fill="auto"/>
          </w:tcPr>
          <w:p w14:paraId="5A8AAAA5" w14:textId="77777777" w:rsidR="002A1771" w:rsidRPr="00562C27" w:rsidRDefault="002A1771" w:rsidP="00D84B3E">
            <w:pPr>
              <w:pStyle w:val="ICRPbasicnospace"/>
            </w:pPr>
            <w:r>
              <w:rPr>
                <w:rFonts w:cstheme="minorHAnsi"/>
                <w:color w:val="000000" w:themeColor="text1"/>
                <w:kern w:val="2"/>
                <w:lang w:eastAsia="zh-CN"/>
              </w:rPr>
              <w:t>A</w:t>
            </w:r>
            <w:r w:rsidRPr="00A333F5">
              <w:rPr>
                <w:rFonts w:cstheme="minorHAnsi"/>
                <w:color w:val="000000" w:themeColor="text1"/>
                <w:kern w:val="2"/>
                <w:lang w:eastAsia="zh-CN"/>
              </w:rPr>
              <w:t xml:space="preserve">. </w:t>
            </w:r>
            <w:r>
              <w:rPr>
                <w:rFonts w:cstheme="minorHAnsi"/>
                <w:color w:val="000000" w:themeColor="text1"/>
                <w:kern w:val="2"/>
                <w:lang w:eastAsia="zh-CN"/>
              </w:rPr>
              <w:t>Nisbet</w:t>
            </w:r>
          </w:p>
        </w:tc>
        <w:tc>
          <w:tcPr>
            <w:tcW w:w="2644" w:type="dxa"/>
            <w:shd w:val="clear" w:color="auto" w:fill="auto"/>
          </w:tcPr>
          <w:p w14:paraId="14C17328" w14:textId="77777777" w:rsidR="002A1771" w:rsidRPr="00562C27" w:rsidRDefault="002A1771" w:rsidP="00D84B3E">
            <w:pPr>
              <w:pStyle w:val="ICRPbasicnospace"/>
            </w:pPr>
            <w:r>
              <w:rPr>
                <w:rFonts w:cstheme="minorHAnsi"/>
                <w:color w:val="000000" w:themeColor="text1"/>
                <w:kern w:val="2"/>
                <w:lang w:eastAsia="zh-CN"/>
              </w:rPr>
              <w:t>H</w:t>
            </w:r>
            <w:r w:rsidRPr="00A333F5">
              <w:rPr>
                <w:rFonts w:cstheme="minorHAnsi"/>
                <w:color w:val="000000" w:themeColor="text1"/>
                <w:kern w:val="2"/>
                <w:lang w:eastAsia="zh-CN"/>
              </w:rPr>
              <w:t xml:space="preserve">. </w:t>
            </w:r>
            <w:r>
              <w:rPr>
                <w:rFonts w:cstheme="minorHAnsi"/>
                <w:color w:val="000000" w:themeColor="text1"/>
                <w:kern w:val="2"/>
                <w:lang w:eastAsia="zh-CN"/>
              </w:rPr>
              <w:t>Yoshida</w:t>
            </w:r>
          </w:p>
        </w:tc>
      </w:tr>
    </w:tbl>
    <w:p w14:paraId="21FFB40C" w14:textId="77777777" w:rsidR="002A1771" w:rsidRPr="00943CA7" w:rsidRDefault="002A1771" w:rsidP="002A1771">
      <w:pPr>
        <w:widowControl w:val="0"/>
        <w:suppressAutoHyphens/>
        <w:spacing w:before="240" w:after="240"/>
        <w:jc w:val="both"/>
        <w:textAlignment w:val="baseline"/>
        <w:rPr>
          <w:rFonts w:cstheme="minorHAnsi"/>
          <w:b/>
          <w:bCs/>
          <w:color w:val="000000" w:themeColor="text1"/>
          <w:kern w:val="2"/>
          <w:lang w:eastAsia="zh-CN"/>
        </w:rPr>
      </w:pPr>
      <w:r w:rsidRPr="00A333F5">
        <w:rPr>
          <w:rFonts w:cstheme="minorHAnsi"/>
          <w:b/>
          <w:bCs/>
          <w:color w:val="000000" w:themeColor="text1"/>
          <w:kern w:val="2"/>
          <w:lang w:eastAsia="zh-CN"/>
        </w:rPr>
        <w:t xml:space="preserve">Main Commission Critical </w:t>
      </w:r>
      <w:r>
        <w:rPr>
          <w:rFonts w:cstheme="minorHAnsi"/>
          <w:b/>
          <w:bCs/>
          <w:color w:val="000000" w:themeColor="text1"/>
          <w:kern w:val="2"/>
          <w:lang w:eastAsia="zh-CN"/>
        </w:rPr>
        <w:t>R</w:t>
      </w:r>
      <w:r w:rsidRPr="00A333F5">
        <w:rPr>
          <w:rFonts w:cstheme="minorHAnsi"/>
          <w:b/>
          <w:bCs/>
          <w:color w:val="000000" w:themeColor="text1"/>
          <w:kern w:val="2"/>
          <w:lang w:eastAsia="zh-CN"/>
        </w:rPr>
        <w:t>eviewers</w:t>
      </w:r>
    </w:p>
    <w:tbl>
      <w:tblPr>
        <w:tblW w:w="9072" w:type="dxa"/>
        <w:tblLook w:val="01E0" w:firstRow="1" w:lastRow="1" w:firstColumn="1" w:lastColumn="1" w:noHBand="0" w:noVBand="0"/>
      </w:tblPr>
      <w:tblGrid>
        <w:gridCol w:w="3212"/>
        <w:gridCol w:w="3216"/>
        <w:gridCol w:w="2644"/>
      </w:tblGrid>
      <w:tr w:rsidR="002A1771" w:rsidRPr="00562C27" w14:paraId="31152553" w14:textId="77777777" w:rsidTr="00D84B3E">
        <w:trPr>
          <w:trHeight w:val="80"/>
        </w:trPr>
        <w:tc>
          <w:tcPr>
            <w:tcW w:w="3212" w:type="dxa"/>
            <w:shd w:val="clear" w:color="auto" w:fill="auto"/>
          </w:tcPr>
          <w:p w14:paraId="69AAF7FD" w14:textId="77777777" w:rsidR="002A1771" w:rsidRPr="00562C27" w:rsidRDefault="002A1771" w:rsidP="00D84B3E">
            <w:pPr>
              <w:pStyle w:val="ICRPbasicnospace"/>
            </w:pPr>
            <w:r w:rsidRPr="00A333F5">
              <w:rPr>
                <w:rFonts w:cstheme="minorHAnsi"/>
                <w:color w:val="000000" w:themeColor="text1"/>
              </w:rPr>
              <w:t>M. Kai</w:t>
            </w:r>
          </w:p>
        </w:tc>
        <w:tc>
          <w:tcPr>
            <w:tcW w:w="3216" w:type="dxa"/>
            <w:shd w:val="clear" w:color="auto" w:fill="auto"/>
          </w:tcPr>
          <w:p w14:paraId="5EF897A0" w14:textId="77777777" w:rsidR="002A1771" w:rsidRPr="00562C27" w:rsidRDefault="002A1771" w:rsidP="00D84B3E">
            <w:pPr>
              <w:pStyle w:val="ICRPbasicnospace"/>
            </w:pPr>
            <w:r w:rsidRPr="00A333F5">
              <w:rPr>
                <w:rFonts w:cstheme="minorHAnsi"/>
                <w:color w:val="000000" w:themeColor="text1"/>
              </w:rPr>
              <w:t>S. Romanov</w:t>
            </w:r>
          </w:p>
        </w:tc>
        <w:tc>
          <w:tcPr>
            <w:tcW w:w="2644" w:type="dxa"/>
            <w:shd w:val="clear" w:color="auto" w:fill="auto"/>
          </w:tcPr>
          <w:p w14:paraId="01DDB27D" w14:textId="77777777" w:rsidR="002A1771" w:rsidRPr="00562C27" w:rsidRDefault="002A1771" w:rsidP="00D84B3E">
            <w:pPr>
              <w:pStyle w:val="ICRPbasicnospace"/>
            </w:pPr>
          </w:p>
        </w:tc>
      </w:tr>
    </w:tbl>
    <w:p w14:paraId="1345B8AD" w14:textId="77777777" w:rsidR="002A1771" w:rsidRPr="00883D75" w:rsidRDefault="002A1771" w:rsidP="002A1771">
      <w:pPr>
        <w:widowControl w:val="0"/>
        <w:suppressAutoHyphens/>
        <w:spacing w:before="240" w:after="240"/>
        <w:jc w:val="both"/>
        <w:textAlignment w:val="baseline"/>
        <w:rPr>
          <w:rFonts w:cstheme="minorHAnsi"/>
          <w:b/>
          <w:bCs/>
          <w:kern w:val="2"/>
          <w:lang w:eastAsia="zh-CN"/>
        </w:rPr>
      </w:pPr>
      <w:r w:rsidRPr="00883D75">
        <w:rPr>
          <w:rFonts w:cstheme="minorHAnsi"/>
          <w:b/>
          <w:bCs/>
          <w:kern w:val="2"/>
          <w:lang w:eastAsia="zh-CN"/>
        </w:rPr>
        <w:t>Editorial members</w:t>
      </w:r>
    </w:p>
    <w:p w14:paraId="74CA6EF4" w14:textId="77777777" w:rsidR="002A1771" w:rsidRPr="00883D75" w:rsidRDefault="002A1771" w:rsidP="002A1771">
      <w:pPr>
        <w:widowControl w:val="0"/>
        <w:suppressAutoHyphens/>
        <w:jc w:val="both"/>
        <w:textAlignment w:val="baseline"/>
        <w:rPr>
          <w:rFonts w:cstheme="minorHAnsi"/>
          <w:kern w:val="2"/>
          <w:lang w:eastAsia="zh-CN"/>
        </w:rPr>
      </w:pPr>
      <w:r w:rsidRPr="00883D75">
        <w:rPr>
          <w:rFonts w:cstheme="minorHAnsi"/>
          <w:kern w:val="2"/>
          <w:lang w:eastAsia="zh-CN"/>
        </w:rPr>
        <w:t xml:space="preserve">C.H. Clement (Scientific Secretary and </w:t>
      </w:r>
      <w:r w:rsidRPr="00883D75">
        <w:rPr>
          <w:rFonts w:cstheme="minorHAnsi"/>
          <w:i/>
          <w:iCs/>
          <w:kern w:val="2"/>
          <w:lang w:eastAsia="zh-CN"/>
        </w:rPr>
        <w:t>Annals of the ICRP</w:t>
      </w:r>
      <w:r w:rsidRPr="00883D75">
        <w:rPr>
          <w:rFonts w:cstheme="minorHAnsi"/>
          <w:kern w:val="2"/>
          <w:lang w:eastAsia="zh-CN"/>
        </w:rPr>
        <w:t xml:space="preserve"> Editor-in-Chief)</w:t>
      </w:r>
    </w:p>
    <w:p w14:paraId="150F89FE" w14:textId="692389FF" w:rsidR="002A1771" w:rsidRPr="003629A2" w:rsidRDefault="002A1771" w:rsidP="002A1771">
      <w:pPr>
        <w:widowControl w:val="0"/>
        <w:suppressAutoHyphens/>
        <w:jc w:val="both"/>
        <w:textAlignment w:val="baseline"/>
        <w:rPr>
          <w:rFonts w:eastAsiaTheme="minorEastAsia" w:cstheme="minorHAnsi"/>
          <w:kern w:val="2"/>
          <w:lang w:eastAsia="ja-JP"/>
        </w:rPr>
      </w:pPr>
      <w:r w:rsidRPr="00883D75">
        <w:rPr>
          <w:rFonts w:cstheme="minorHAnsi"/>
          <w:kern w:val="2"/>
          <w:lang w:eastAsia="zh-CN"/>
        </w:rPr>
        <w:t xml:space="preserve">T. Yasumune (Assistant Scientific Secretary and </w:t>
      </w:r>
      <w:r w:rsidRPr="00883D75">
        <w:rPr>
          <w:rFonts w:cstheme="minorHAnsi"/>
          <w:i/>
          <w:iCs/>
          <w:kern w:val="2"/>
          <w:lang w:eastAsia="zh-CN"/>
        </w:rPr>
        <w:t>Annals of the ICRP</w:t>
      </w:r>
      <w:r w:rsidRPr="00883D75">
        <w:rPr>
          <w:rFonts w:cstheme="minorHAnsi"/>
          <w:kern w:val="2"/>
          <w:lang w:eastAsia="zh-CN"/>
        </w:rPr>
        <w:t xml:space="preserve"> Associate Editor)</w:t>
      </w:r>
      <w:r w:rsidR="002C3B98" w:rsidRPr="002C3B98">
        <w:rPr>
          <w:rFonts w:cstheme="minorHAnsi"/>
          <w:i/>
          <w:iCs/>
          <w:kern w:val="2"/>
          <w:lang w:eastAsia="zh-CN"/>
        </w:rPr>
        <w:t xml:space="preserve"> </w:t>
      </w:r>
      <w:r w:rsidR="002C3B98">
        <w:rPr>
          <w:rFonts w:cstheme="minorHAnsi"/>
          <w:i/>
          <w:iCs/>
          <w:kern w:val="2"/>
          <w:lang w:eastAsia="zh-CN"/>
        </w:rPr>
        <w:t>(2022–2024)</w:t>
      </w:r>
    </w:p>
    <w:p w14:paraId="1CAD28E1" w14:textId="52BDB793" w:rsidR="003629A2" w:rsidRDefault="003629A2" w:rsidP="003629A2">
      <w:pPr>
        <w:widowControl w:val="0"/>
        <w:suppressAutoHyphens/>
        <w:jc w:val="both"/>
        <w:textAlignment w:val="baseline"/>
        <w:rPr>
          <w:rFonts w:eastAsiaTheme="minorEastAsia" w:cstheme="minorHAnsi"/>
          <w:kern w:val="2"/>
          <w:lang w:eastAsia="ja-JP"/>
        </w:rPr>
      </w:pPr>
      <w:r>
        <w:rPr>
          <w:rFonts w:eastAsiaTheme="minorEastAsia" w:cstheme="minorHAnsi" w:hint="eastAsia"/>
          <w:kern w:val="2"/>
          <w:lang w:eastAsia="ja-JP"/>
        </w:rPr>
        <w:t>K</w:t>
      </w:r>
      <w:r w:rsidRPr="00883D75">
        <w:rPr>
          <w:rFonts w:cstheme="minorHAnsi"/>
          <w:kern w:val="2"/>
          <w:lang w:eastAsia="zh-CN"/>
        </w:rPr>
        <w:t xml:space="preserve">. </w:t>
      </w:r>
      <w:r>
        <w:rPr>
          <w:rFonts w:eastAsiaTheme="minorEastAsia" w:cstheme="minorHAnsi" w:hint="eastAsia"/>
          <w:kern w:val="2"/>
          <w:lang w:eastAsia="ja-JP"/>
        </w:rPr>
        <w:t>Nakamu</w:t>
      </w:r>
      <w:r w:rsidR="00CE3DF2">
        <w:rPr>
          <w:rFonts w:eastAsiaTheme="minorEastAsia" w:cstheme="minorHAnsi" w:hint="eastAsia"/>
          <w:kern w:val="2"/>
          <w:lang w:eastAsia="ja-JP"/>
        </w:rPr>
        <w:t>r</w:t>
      </w:r>
      <w:r>
        <w:rPr>
          <w:rFonts w:eastAsiaTheme="minorEastAsia" w:cstheme="minorHAnsi" w:hint="eastAsia"/>
          <w:kern w:val="2"/>
          <w:lang w:eastAsia="ja-JP"/>
        </w:rPr>
        <w:t>a</w:t>
      </w:r>
      <w:r w:rsidRPr="00883D75">
        <w:rPr>
          <w:rFonts w:cstheme="minorHAnsi"/>
          <w:kern w:val="2"/>
          <w:lang w:eastAsia="zh-CN"/>
        </w:rPr>
        <w:t xml:space="preserve"> (Assistant Scientific Secretary and </w:t>
      </w:r>
      <w:r w:rsidRPr="00883D75">
        <w:rPr>
          <w:rFonts w:cstheme="minorHAnsi"/>
          <w:i/>
          <w:iCs/>
          <w:kern w:val="2"/>
          <w:lang w:eastAsia="zh-CN"/>
        </w:rPr>
        <w:t>Annals of the ICRP</w:t>
      </w:r>
      <w:r w:rsidRPr="00883D75">
        <w:rPr>
          <w:rFonts w:cstheme="minorHAnsi"/>
          <w:kern w:val="2"/>
          <w:lang w:eastAsia="zh-CN"/>
        </w:rPr>
        <w:t xml:space="preserve"> Associate Editor)</w:t>
      </w:r>
      <w:r w:rsidR="002C3B98" w:rsidRPr="002C3B98">
        <w:rPr>
          <w:rFonts w:cstheme="minorHAnsi"/>
          <w:i/>
          <w:iCs/>
          <w:kern w:val="2"/>
          <w:lang w:eastAsia="zh-CN"/>
        </w:rPr>
        <w:t xml:space="preserve"> </w:t>
      </w:r>
      <w:r w:rsidR="002C3B98">
        <w:rPr>
          <w:rFonts w:cstheme="minorHAnsi"/>
          <w:i/>
          <w:iCs/>
          <w:kern w:val="2"/>
          <w:lang w:eastAsia="zh-CN"/>
        </w:rPr>
        <w:t>(202</w:t>
      </w:r>
      <w:r w:rsidR="002C3B98">
        <w:rPr>
          <w:rFonts w:eastAsiaTheme="minorEastAsia" w:cstheme="minorHAnsi" w:hint="eastAsia"/>
          <w:i/>
          <w:iCs/>
          <w:kern w:val="2"/>
          <w:lang w:eastAsia="ja-JP"/>
        </w:rPr>
        <w:t>4</w:t>
      </w:r>
      <w:r w:rsidR="002C3B98">
        <w:rPr>
          <w:rFonts w:cstheme="minorHAnsi"/>
          <w:i/>
          <w:iCs/>
          <w:kern w:val="2"/>
          <w:lang w:eastAsia="zh-CN"/>
        </w:rPr>
        <w:t>–)</w:t>
      </w:r>
    </w:p>
    <w:p w14:paraId="102D98C9" w14:textId="77777777" w:rsidR="002A1771" w:rsidRDefault="002A1771" w:rsidP="002A1771">
      <w:pPr>
        <w:pStyle w:val="ICRPbasic"/>
        <w:rPr>
          <w:b/>
          <w:bCs/>
        </w:rPr>
      </w:pPr>
      <w:r w:rsidRPr="00562C27">
        <w:rPr>
          <w:b/>
          <w:bCs/>
        </w:rPr>
        <w:t xml:space="preserve">Committee </w:t>
      </w:r>
      <w:r>
        <w:rPr>
          <w:b/>
          <w:bCs/>
        </w:rPr>
        <w:t>4</w:t>
      </w:r>
      <w:r w:rsidRPr="00562C27">
        <w:rPr>
          <w:b/>
          <w:bCs/>
        </w:rPr>
        <w:t xml:space="preserve"> members during preparation of this publication</w:t>
      </w:r>
    </w:p>
    <w:p w14:paraId="404B23BF" w14:textId="77777777" w:rsidR="002A1771" w:rsidRPr="00010C9A" w:rsidRDefault="002A1771" w:rsidP="002A1771">
      <w:pPr>
        <w:pStyle w:val="ICRPbasic"/>
        <w:rPr>
          <w:i/>
          <w:iCs/>
        </w:rPr>
      </w:pPr>
      <w:r w:rsidRPr="00010C9A">
        <w:rPr>
          <w:i/>
          <w:iCs/>
        </w:rPr>
        <w:t>(2013–2017)</w:t>
      </w:r>
    </w:p>
    <w:tbl>
      <w:tblPr>
        <w:tblW w:w="9072" w:type="dxa"/>
        <w:tblLayout w:type="fixed"/>
        <w:tblLook w:val="01E0" w:firstRow="1" w:lastRow="1" w:firstColumn="1" w:lastColumn="1" w:noHBand="0" w:noVBand="0"/>
      </w:tblPr>
      <w:tblGrid>
        <w:gridCol w:w="3226"/>
        <w:gridCol w:w="3226"/>
        <w:gridCol w:w="2620"/>
      </w:tblGrid>
      <w:tr w:rsidR="002A1771" w:rsidRPr="00E16DF5" w14:paraId="7FEC7CBB" w14:textId="77777777" w:rsidTr="00D84B3E">
        <w:tc>
          <w:tcPr>
            <w:tcW w:w="3226" w:type="dxa"/>
            <w:shd w:val="clear" w:color="auto" w:fill="auto"/>
          </w:tcPr>
          <w:p w14:paraId="1DA7303A" w14:textId="77777777" w:rsidR="002A1771" w:rsidRDefault="002A1771" w:rsidP="00D84B3E">
            <w:pPr>
              <w:pStyle w:val="ICRPbasicnospace"/>
            </w:pPr>
            <w:r>
              <w:t>D.A. Cool</w:t>
            </w:r>
            <w:r w:rsidRPr="00FE17F7">
              <w:t xml:space="preserve"> (Chair)</w:t>
            </w:r>
          </w:p>
        </w:tc>
        <w:tc>
          <w:tcPr>
            <w:tcW w:w="3226" w:type="dxa"/>
            <w:shd w:val="clear" w:color="auto" w:fill="auto"/>
          </w:tcPr>
          <w:p w14:paraId="31F1F2BE" w14:textId="77777777" w:rsidR="002A1771" w:rsidRPr="00765443" w:rsidRDefault="002A1771" w:rsidP="00D84B3E">
            <w:pPr>
              <w:pStyle w:val="ICRPbasicnospace"/>
            </w:pPr>
            <w:r w:rsidRPr="00765443">
              <w:t>M</w:t>
            </w:r>
            <w:r>
              <w:t>.</w:t>
            </w:r>
            <w:r w:rsidRPr="00765443">
              <w:t xml:space="preserve"> </w:t>
            </w:r>
            <w:proofErr w:type="spellStart"/>
            <w:r w:rsidRPr="00765443">
              <w:t>Doruff</w:t>
            </w:r>
            <w:proofErr w:type="spellEnd"/>
          </w:p>
        </w:tc>
        <w:tc>
          <w:tcPr>
            <w:tcW w:w="2620" w:type="dxa"/>
            <w:shd w:val="clear" w:color="auto" w:fill="auto"/>
          </w:tcPr>
          <w:p w14:paraId="29FA3C6A" w14:textId="77777777" w:rsidR="002A1771" w:rsidRPr="008D32B6" w:rsidRDefault="002A1771" w:rsidP="00D84B3E">
            <w:pPr>
              <w:pStyle w:val="ICRPbasicnospace"/>
              <w:rPr>
                <w:lang w:val="en-CA"/>
              </w:rPr>
            </w:pPr>
            <w:r w:rsidRPr="008D32B6">
              <w:rPr>
                <w:lang w:val="en-CA"/>
              </w:rPr>
              <w:t>A. Nisbet</w:t>
            </w:r>
          </w:p>
        </w:tc>
      </w:tr>
      <w:tr w:rsidR="002A1771" w:rsidRPr="00E16DF5" w14:paraId="35CF720E" w14:textId="77777777" w:rsidTr="00D84B3E">
        <w:tc>
          <w:tcPr>
            <w:tcW w:w="3226" w:type="dxa"/>
            <w:shd w:val="clear" w:color="auto" w:fill="auto"/>
          </w:tcPr>
          <w:p w14:paraId="2E7A040D" w14:textId="77777777" w:rsidR="002A1771" w:rsidRDefault="002A1771" w:rsidP="00D84B3E">
            <w:pPr>
              <w:pStyle w:val="ICRPbasicnospace"/>
            </w:pPr>
            <w:r w:rsidRPr="00765443">
              <w:rPr>
                <w:lang w:val="nb-NO"/>
              </w:rPr>
              <w:t>K</w:t>
            </w:r>
            <w:r>
              <w:rPr>
                <w:lang w:val="nb-NO"/>
              </w:rPr>
              <w:t>.</w:t>
            </w:r>
            <w:r w:rsidRPr="00765443">
              <w:rPr>
                <w:lang w:val="nb-NO"/>
              </w:rPr>
              <w:t>W</w:t>
            </w:r>
            <w:r>
              <w:rPr>
                <w:lang w:val="nb-NO"/>
              </w:rPr>
              <w:t>.</w:t>
            </w:r>
            <w:r w:rsidRPr="00765443">
              <w:rPr>
                <w:lang w:val="nb-NO"/>
              </w:rPr>
              <w:t xml:space="preserve"> Cho</w:t>
            </w:r>
            <w:r w:rsidRPr="00FE17F7">
              <w:t xml:space="preserve"> (</w:t>
            </w:r>
            <w:r>
              <w:t>Vice-</w:t>
            </w:r>
            <w:r w:rsidRPr="00FE17F7">
              <w:t>Chair)</w:t>
            </w:r>
          </w:p>
        </w:tc>
        <w:tc>
          <w:tcPr>
            <w:tcW w:w="3226" w:type="dxa"/>
            <w:shd w:val="clear" w:color="auto" w:fill="auto"/>
          </w:tcPr>
          <w:p w14:paraId="19FA32C7" w14:textId="77777777" w:rsidR="002A1771" w:rsidRPr="00765443" w:rsidRDefault="002A1771" w:rsidP="00D84B3E">
            <w:pPr>
              <w:pStyle w:val="ICRPbasicnospace"/>
            </w:pPr>
            <w:r w:rsidRPr="00765443">
              <w:t>E</w:t>
            </w:r>
            <w:r>
              <w:t>.</w:t>
            </w:r>
            <w:r w:rsidRPr="00765443">
              <w:t xml:space="preserve"> Gallego</w:t>
            </w:r>
          </w:p>
        </w:tc>
        <w:tc>
          <w:tcPr>
            <w:tcW w:w="2620" w:type="dxa"/>
            <w:shd w:val="clear" w:color="auto" w:fill="auto"/>
          </w:tcPr>
          <w:p w14:paraId="2E7ABDC8" w14:textId="77777777" w:rsidR="002A1771" w:rsidRPr="008D32B6" w:rsidRDefault="002A1771" w:rsidP="00D84B3E">
            <w:pPr>
              <w:pStyle w:val="ICRPbasicnospace"/>
              <w:rPr>
                <w:lang w:val="en-CA"/>
              </w:rPr>
            </w:pPr>
            <w:r w:rsidRPr="008D32B6">
              <w:rPr>
                <w:lang w:val="en-CA"/>
              </w:rPr>
              <w:t>D. Oughton</w:t>
            </w:r>
          </w:p>
        </w:tc>
      </w:tr>
      <w:tr w:rsidR="002A1771" w:rsidRPr="00E16DF5" w14:paraId="5DA119C2" w14:textId="77777777" w:rsidTr="00D84B3E">
        <w:tc>
          <w:tcPr>
            <w:tcW w:w="3226" w:type="dxa"/>
            <w:shd w:val="clear" w:color="auto" w:fill="auto"/>
          </w:tcPr>
          <w:p w14:paraId="7257591A" w14:textId="77777777" w:rsidR="002A1771" w:rsidRDefault="002A1771" w:rsidP="00D84B3E">
            <w:pPr>
              <w:pStyle w:val="ICRPbasicnospace"/>
            </w:pPr>
            <w:r w:rsidRPr="00FE17F7">
              <w:t>J-</w:t>
            </w:r>
            <w:r>
              <w:t>F</w:t>
            </w:r>
            <w:r w:rsidRPr="00FE17F7">
              <w:t xml:space="preserve">. </w:t>
            </w:r>
            <w:r w:rsidRPr="00765443">
              <w:t>Lecomte</w:t>
            </w:r>
            <w:r w:rsidRPr="00FE17F7">
              <w:t xml:space="preserve"> (</w:t>
            </w:r>
            <w:r w:rsidRPr="00AE3323">
              <w:t>Secretary)</w:t>
            </w:r>
          </w:p>
        </w:tc>
        <w:tc>
          <w:tcPr>
            <w:tcW w:w="3226" w:type="dxa"/>
            <w:shd w:val="clear" w:color="auto" w:fill="auto"/>
          </w:tcPr>
          <w:p w14:paraId="1C02285E" w14:textId="77777777" w:rsidR="002A1771" w:rsidRPr="00765443" w:rsidRDefault="002A1771" w:rsidP="00D84B3E">
            <w:pPr>
              <w:pStyle w:val="ICRPbasicnospace"/>
            </w:pPr>
            <w:r w:rsidRPr="00765443">
              <w:t>T</w:t>
            </w:r>
            <w:r>
              <w:t>.</w:t>
            </w:r>
            <w:r w:rsidRPr="00765443">
              <w:t xml:space="preserve"> Homma</w:t>
            </w:r>
          </w:p>
        </w:tc>
        <w:tc>
          <w:tcPr>
            <w:tcW w:w="2620" w:type="dxa"/>
            <w:shd w:val="clear" w:color="auto" w:fill="auto"/>
          </w:tcPr>
          <w:p w14:paraId="19D3639C" w14:textId="77777777" w:rsidR="002A1771" w:rsidRPr="001A02AC" w:rsidRDefault="002A1771" w:rsidP="00D84B3E">
            <w:pPr>
              <w:pStyle w:val="ICRPbasicnospace"/>
              <w:rPr>
                <w:lang w:val="nb-NO"/>
              </w:rPr>
            </w:pPr>
            <w:r w:rsidRPr="00765443">
              <w:rPr>
                <w:lang w:val="nb-NO"/>
              </w:rPr>
              <w:t>T</w:t>
            </w:r>
            <w:r>
              <w:rPr>
                <w:lang w:val="nb-NO"/>
              </w:rPr>
              <w:t>.</w:t>
            </w:r>
            <w:r w:rsidRPr="00765443">
              <w:rPr>
                <w:lang w:val="nb-NO"/>
              </w:rPr>
              <w:t xml:space="preserve"> Pather</w:t>
            </w:r>
          </w:p>
        </w:tc>
      </w:tr>
      <w:tr w:rsidR="002A1771" w:rsidRPr="00E16DF5" w14:paraId="708EBFAC" w14:textId="77777777" w:rsidTr="00D84B3E">
        <w:tc>
          <w:tcPr>
            <w:tcW w:w="3226" w:type="dxa"/>
            <w:shd w:val="clear" w:color="auto" w:fill="auto"/>
          </w:tcPr>
          <w:p w14:paraId="08660943" w14:textId="77777777" w:rsidR="002A1771" w:rsidRDefault="002A1771" w:rsidP="00D84B3E">
            <w:pPr>
              <w:pStyle w:val="ICRPbasicnospace"/>
            </w:pPr>
            <w:r w:rsidRPr="00AE3323">
              <w:t>F. Bochud</w:t>
            </w:r>
          </w:p>
        </w:tc>
        <w:tc>
          <w:tcPr>
            <w:tcW w:w="3226" w:type="dxa"/>
            <w:shd w:val="clear" w:color="auto" w:fill="auto"/>
          </w:tcPr>
          <w:p w14:paraId="4D7E0463" w14:textId="77777777" w:rsidR="002A1771" w:rsidRPr="00765443" w:rsidRDefault="002A1771" w:rsidP="00D84B3E">
            <w:pPr>
              <w:pStyle w:val="ICRPbasicnospace"/>
            </w:pPr>
            <w:r w:rsidRPr="00765443">
              <w:t>M</w:t>
            </w:r>
            <w:r>
              <w:t>.</w:t>
            </w:r>
            <w:r w:rsidRPr="00765443">
              <w:t xml:space="preserve"> Kai</w:t>
            </w:r>
          </w:p>
        </w:tc>
        <w:tc>
          <w:tcPr>
            <w:tcW w:w="2620" w:type="dxa"/>
            <w:shd w:val="clear" w:color="auto" w:fill="auto"/>
          </w:tcPr>
          <w:p w14:paraId="767B3AE1" w14:textId="77777777" w:rsidR="002A1771" w:rsidRPr="001A02AC" w:rsidRDefault="002A1771" w:rsidP="00D84B3E">
            <w:pPr>
              <w:pStyle w:val="ICRPbasicnospace"/>
              <w:rPr>
                <w:lang w:val="nb-NO"/>
              </w:rPr>
            </w:pPr>
            <w:r w:rsidRPr="00765443">
              <w:rPr>
                <w:lang w:val="nb-NO"/>
              </w:rPr>
              <w:t>S</w:t>
            </w:r>
            <w:r>
              <w:rPr>
                <w:lang w:val="nb-NO"/>
              </w:rPr>
              <w:t>.</w:t>
            </w:r>
            <w:r w:rsidRPr="00765443">
              <w:rPr>
                <w:lang w:val="nb-NO"/>
              </w:rPr>
              <w:t xml:space="preserve"> Shinkarev</w:t>
            </w:r>
          </w:p>
        </w:tc>
      </w:tr>
      <w:tr w:rsidR="002A1771" w:rsidRPr="00E16DF5" w14:paraId="2F92EC59" w14:textId="77777777" w:rsidTr="00D84B3E">
        <w:tc>
          <w:tcPr>
            <w:tcW w:w="3226" w:type="dxa"/>
            <w:shd w:val="clear" w:color="auto" w:fill="auto"/>
          </w:tcPr>
          <w:p w14:paraId="2F5C2617" w14:textId="77777777" w:rsidR="002A1771" w:rsidRPr="00E16DF5" w:rsidRDefault="002A1771" w:rsidP="00D84B3E">
            <w:pPr>
              <w:pStyle w:val="ICRPbasicnospace"/>
              <w:rPr>
                <w:lang w:val="nb-NO"/>
              </w:rPr>
            </w:pPr>
            <w:r w:rsidRPr="00765443">
              <w:rPr>
                <w:lang w:val="sv-SE"/>
              </w:rPr>
              <w:t>M</w:t>
            </w:r>
            <w:r>
              <w:rPr>
                <w:lang w:val="sv-SE"/>
              </w:rPr>
              <w:t>.</w:t>
            </w:r>
            <w:r w:rsidRPr="00765443">
              <w:rPr>
                <w:lang w:val="sv-SE"/>
              </w:rPr>
              <w:t xml:space="preserve"> Boyd</w:t>
            </w:r>
          </w:p>
        </w:tc>
        <w:tc>
          <w:tcPr>
            <w:tcW w:w="3226" w:type="dxa"/>
            <w:shd w:val="clear" w:color="auto" w:fill="auto"/>
          </w:tcPr>
          <w:p w14:paraId="7D2E1CE3" w14:textId="77777777" w:rsidR="002A1771" w:rsidRPr="00E16DF5" w:rsidRDefault="002A1771" w:rsidP="00D84B3E">
            <w:pPr>
              <w:pStyle w:val="ICRPbasicnospace"/>
              <w:rPr>
                <w:lang w:val="nb-NO"/>
              </w:rPr>
            </w:pPr>
            <w:r w:rsidRPr="00765443">
              <w:t>S</w:t>
            </w:r>
            <w:r>
              <w:t>.</w:t>
            </w:r>
            <w:r w:rsidRPr="00765443">
              <w:t xml:space="preserve"> Liu</w:t>
            </w:r>
          </w:p>
        </w:tc>
        <w:tc>
          <w:tcPr>
            <w:tcW w:w="2620" w:type="dxa"/>
            <w:shd w:val="clear" w:color="auto" w:fill="auto"/>
          </w:tcPr>
          <w:p w14:paraId="6D173D2E" w14:textId="77777777" w:rsidR="002A1771" w:rsidRPr="00E16DF5" w:rsidRDefault="002A1771" w:rsidP="00D84B3E">
            <w:pPr>
              <w:pStyle w:val="ICRPbasicnospace"/>
              <w:rPr>
                <w:lang w:val="nb-NO"/>
              </w:rPr>
            </w:pPr>
            <w:r>
              <w:rPr>
                <w:lang w:val="nb-NO"/>
              </w:rPr>
              <w:t>J.</w:t>
            </w:r>
            <w:r w:rsidRPr="00765443">
              <w:rPr>
                <w:lang w:val="nb-NO"/>
              </w:rPr>
              <w:t xml:space="preserve"> Takala</w:t>
            </w:r>
          </w:p>
        </w:tc>
      </w:tr>
      <w:tr w:rsidR="002A1771" w:rsidRPr="00E16DF5" w14:paraId="2E0F3BA2" w14:textId="77777777" w:rsidTr="00D84B3E">
        <w:tc>
          <w:tcPr>
            <w:tcW w:w="3226" w:type="dxa"/>
            <w:shd w:val="clear" w:color="auto" w:fill="auto"/>
          </w:tcPr>
          <w:p w14:paraId="3281D5B2" w14:textId="77777777" w:rsidR="002A1771" w:rsidRPr="00765443" w:rsidRDefault="002A1771" w:rsidP="00D84B3E">
            <w:pPr>
              <w:pStyle w:val="ICRPbasicnospace"/>
              <w:rPr>
                <w:lang w:val="sv-SE"/>
              </w:rPr>
            </w:pPr>
            <w:r w:rsidRPr="00765443">
              <w:rPr>
                <w:lang w:val="sv-SE"/>
              </w:rPr>
              <w:t>A</w:t>
            </w:r>
            <w:r>
              <w:rPr>
                <w:lang w:val="sv-SE"/>
              </w:rPr>
              <w:t>.</w:t>
            </w:r>
            <w:r w:rsidRPr="00765443">
              <w:rPr>
                <w:lang w:val="sv-SE"/>
              </w:rPr>
              <w:t xml:space="preserve"> Canoba</w:t>
            </w:r>
          </w:p>
        </w:tc>
        <w:tc>
          <w:tcPr>
            <w:tcW w:w="3226" w:type="dxa"/>
            <w:shd w:val="clear" w:color="auto" w:fill="auto"/>
          </w:tcPr>
          <w:p w14:paraId="39EFCC74" w14:textId="77777777" w:rsidR="002A1771" w:rsidRPr="00765443" w:rsidRDefault="002A1771" w:rsidP="00D84B3E">
            <w:pPr>
              <w:pStyle w:val="ICRPbasicnospace"/>
              <w:rPr>
                <w:lang w:val="nb-NO"/>
              </w:rPr>
            </w:pPr>
            <w:r w:rsidRPr="00765443">
              <w:rPr>
                <w:lang w:val="nb-NO"/>
              </w:rPr>
              <w:t>A</w:t>
            </w:r>
            <w:r>
              <w:rPr>
                <w:lang w:val="nb-NO"/>
              </w:rPr>
              <w:t>.</w:t>
            </w:r>
            <w:r w:rsidRPr="00765443">
              <w:rPr>
                <w:lang w:val="nb-NO"/>
              </w:rPr>
              <w:t xml:space="preserve"> McGarry</w:t>
            </w:r>
          </w:p>
        </w:tc>
        <w:tc>
          <w:tcPr>
            <w:tcW w:w="2620" w:type="dxa"/>
            <w:shd w:val="clear" w:color="auto" w:fill="auto"/>
          </w:tcPr>
          <w:p w14:paraId="3F836039" w14:textId="77777777" w:rsidR="002A1771" w:rsidRPr="00E16DF5" w:rsidRDefault="002A1771" w:rsidP="00D84B3E">
            <w:pPr>
              <w:pStyle w:val="ICRPbasicnospace"/>
              <w:rPr>
                <w:lang w:val="nb-NO"/>
              </w:rPr>
            </w:pPr>
          </w:p>
        </w:tc>
      </w:tr>
    </w:tbl>
    <w:p w14:paraId="196F6FEC" w14:textId="77777777" w:rsidR="002A1771" w:rsidRDefault="002A1771" w:rsidP="002A1771">
      <w:pPr>
        <w:pStyle w:val="ICRPbasic"/>
        <w:rPr>
          <w:i/>
          <w:iCs/>
        </w:rPr>
      </w:pPr>
    </w:p>
    <w:p w14:paraId="632581CE" w14:textId="77777777" w:rsidR="002A1771" w:rsidRDefault="002A1771" w:rsidP="002A1771">
      <w:pPr>
        <w:pStyle w:val="ICRPbasic"/>
        <w:rPr>
          <w:i/>
          <w:iCs/>
        </w:rPr>
      </w:pPr>
    </w:p>
    <w:p w14:paraId="421B7C16" w14:textId="77777777" w:rsidR="002A1771" w:rsidRPr="00C7497D" w:rsidRDefault="002A1771" w:rsidP="002A1771">
      <w:pPr>
        <w:pStyle w:val="ICRPbasic"/>
        <w:rPr>
          <w:i/>
          <w:iCs/>
        </w:rPr>
      </w:pPr>
      <w:r w:rsidRPr="00C7497D">
        <w:rPr>
          <w:i/>
          <w:iCs/>
        </w:rPr>
        <w:lastRenderedPageBreak/>
        <w:t>(2017–2021)</w:t>
      </w:r>
    </w:p>
    <w:tbl>
      <w:tblPr>
        <w:tblW w:w="9072" w:type="dxa"/>
        <w:tblLayout w:type="fixed"/>
        <w:tblLook w:val="01E0" w:firstRow="1" w:lastRow="1" w:firstColumn="1" w:lastColumn="1" w:noHBand="0" w:noVBand="0"/>
      </w:tblPr>
      <w:tblGrid>
        <w:gridCol w:w="3226"/>
        <w:gridCol w:w="3226"/>
        <w:gridCol w:w="2620"/>
      </w:tblGrid>
      <w:tr w:rsidR="002A1771" w:rsidRPr="00E16DF5" w14:paraId="3CF82E88" w14:textId="77777777" w:rsidTr="00D84B3E">
        <w:tc>
          <w:tcPr>
            <w:tcW w:w="3226" w:type="dxa"/>
            <w:shd w:val="clear" w:color="auto" w:fill="auto"/>
          </w:tcPr>
          <w:p w14:paraId="337420C0" w14:textId="77777777" w:rsidR="002A1771" w:rsidRPr="00FE17F7" w:rsidRDefault="002A1771" w:rsidP="00D84B3E">
            <w:pPr>
              <w:pStyle w:val="ICRPbasicnospace"/>
            </w:pPr>
            <w:r>
              <w:t>D.A. Cool</w:t>
            </w:r>
            <w:r w:rsidRPr="00FE17F7">
              <w:t xml:space="preserve"> (Chair)</w:t>
            </w:r>
          </w:p>
        </w:tc>
        <w:tc>
          <w:tcPr>
            <w:tcW w:w="3226" w:type="dxa"/>
            <w:shd w:val="clear" w:color="auto" w:fill="auto"/>
          </w:tcPr>
          <w:p w14:paraId="0919278A" w14:textId="77777777" w:rsidR="002A1771" w:rsidRPr="00E16DF5" w:rsidRDefault="002A1771" w:rsidP="00D84B3E">
            <w:pPr>
              <w:pStyle w:val="ICRPbasicnospace"/>
              <w:rPr>
                <w:lang w:val="da-DK"/>
              </w:rPr>
            </w:pPr>
            <w:r>
              <w:rPr>
                <w:lang w:val="da-DK"/>
              </w:rPr>
              <w:t>A. Canoba</w:t>
            </w:r>
          </w:p>
        </w:tc>
        <w:tc>
          <w:tcPr>
            <w:tcW w:w="2620" w:type="dxa"/>
            <w:shd w:val="clear" w:color="auto" w:fill="auto"/>
          </w:tcPr>
          <w:p w14:paraId="250E9F0B" w14:textId="77777777" w:rsidR="002A1771" w:rsidRPr="00640A5E" w:rsidRDefault="002A1771" w:rsidP="00D84B3E">
            <w:pPr>
              <w:pStyle w:val="ICRPbasicnospace"/>
              <w:rPr>
                <w:lang w:val="es-ES"/>
              </w:rPr>
            </w:pPr>
            <w:r>
              <w:rPr>
                <w:lang w:val="es-ES"/>
              </w:rPr>
              <w:t>Y. Mao</w:t>
            </w:r>
          </w:p>
        </w:tc>
      </w:tr>
      <w:tr w:rsidR="002A1771" w:rsidRPr="00E16DF5" w14:paraId="1B62FC6A" w14:textId="77777777" w:rsidTr="00D84B3E">
        <w:tc>
          <w:tcPr>
            <w:tcW w:w="3226" w:type="dxa"/>
            <w:shd w:val="clear" w:color="auto" w:fill="auto"/>
          </w:tcPr>
          <w:p w14:paraId="181DE077" w14:textId="77777777" w:rsidR="002A1771" w:rsidRDefault="002A1771" w:rsidP="00D84B3E">
            <w:pPr>
              <w:pStyle w:val="ICRPbasicnospace"/>
            </w:pPr>
            <w:r>
              <w:t>K.A. Higley</w:t>
            </w:r>
            <w:r w:rsidRPr="00FE17F7">
              <w:t xml:space="preserve"> (Vice-</w:t>
            </w:r>
            <w:r>
              <w:t>C</w:t>
            </w:r>
            <w:r w:rsidRPr="00FE17F7">
              <w:t>hair)</w:t>
            </w:r>
          </w:p>
        </w:tc>
        <w:tc>
          <w:tcPr>
            <w:tcW w:w="3226" w:type="dxa"/>
            <w:shd w:val="clear" w:color="auto" w:fill="auto"/>
          </w:tcPr>
          <w:p w14:paraId="4D38EC87" w14:textId="77777777" w:rsidR="002A1771" w:rsidRDefault="002A1771" w:rsidP="00D84B3E">
            <w:pPr>
              <w:pStyle w:val="ICRPbasicnospace"/>
              <w:rPr>
                <w:lang w:val="da-DK"/>
              </w:rPr>
            </w:pPr>
            <w:r>
              <w:rPr>
                <w:lang w:val="da-DK"/>
              </w:rPr>
              <w:t>D. Copplestone</w:t>
            </w:r>
          </w:p>
        </w:tc>
        <w:tc>
          <w:tcPr>
            <w:tcW w:w="2620" w:type="dxa"/>
            <w:shd w:val="clear" w:color="auto" w:fill="auto"/>
          </w:tcPr>
          <w:p w14:paraId="1BD6D2D5" w14:textId="77777777" w:rsidR="002A1771" w:rsidRDefault="002A1771" w:rsidP="00D84B3E">
            <w:pPr>
              <w:pStyle w:val="ICRPbasicnospace"/>
              <w:rPr>
                <w:lang w:val="es-ES"/>
              </w:rPr>
            </w:pPr>
            <w:r>
              <w:rPr>
                <w:lang w:val="es-ES"/>
              </w:rPr>
              <w:t>N. Martinez</w:t>
            </w:r>
          </w:p>
        </w:tc>
      </w:tr>
      <w:tr w:rsidR="002A1771" w:rsidRPr="00FE17F7" w14:paraId="1AA019CD" w14:textId="77777777" w:rsidTr="00D84B3E">
        <w:trPr>
          <w:trHeight w:val="276"/>
        </w:trPr>
        <w:tc>
          <w:tcPr>
            <w:tcW w:w="3226" w:type="dxa"/>
            <w:shd w:val="clear" w:color="auto" w:fill="auto"/>
          </w:tcPr>
          <w:p w14:paraId="3F7A297A" w14:textId="77777777" w:rsidR="002A1771" w:rsidRPr="00FE17F7" w:rsidRDefault="002A1771" w:rsidP="00D84B3E">
            <w:pPr>
              <w:pStyle w:val="ICRPbasicnospace"/>
            </w:pPr>
            <w:r w:rsidRPr="005A5B59">
              <w:t>J-F. Lecomte (Secretary)</w:t>
            </w:r>
          </w:p>
        </w:tc>
        <w:tc>
          <w:tcPr>
            <w:tcW w:w="3226" w:type="dxa"/>
            <w:shd w:val="clear" w:color="auto" w:fill="auto"/>
          </w:tcPr>
          <w:p w14:paraId="4C960549" w14:textId="77777777" w:rsidR="002A1771" w:rsidRPr="00FE17F7" w:rsidRDefault="002A1771" w:rsidP="00D84B3E">
            <w:pPr>
              <w:pStyle w:val="ICRPbasicnospace"/>
            </w:pPr>
            <w:r>
              <w:t>E. Gallego</w:t>
            </w:r>
          </w:p>
        </w:tc>
        <w:tc>
          <w:tcPr>
            <w:tcW w:w="2620" w:type="dxa"/>
            <w:shd w:val="clear" w:color="auto" w:fill="auto"/>
          </w:tcPr>
          <w:p w14:paraId="3255A4CD" w14:textId="77777777" w:rsidR="002A1771" w:rsidRPr="00FE17F7" w:rsidRDefault="002A1771" w:rsidP="00D84B3E">
            <w:pPr>
              <w:pStyle w:val="ICRPbasicnospace"/>
            </w:pPr>
            <w:r>
              <w:t>A. Nisbet</w:t>
            </w:r>
          </w:p>
        </w:tc>
      </w:tr>
      <w:tr w:rsidR="002A1771" w:rsidRPr="00FE17F7" w14:paraId="6B914763" w14:textId="77777777" w:rsidTr="00D84B3E">
        <w:trPr>
          <w:trHeight w:val="278"/>
        </w:trPr>
        <w:tc>
          <w:tcPr>
            <w:tcW w:w="3226" w:type="dxa"/>
            <w:shd w:val="clear" w:color="auto" w:fill="auto"/>
          </w:tcPr>
          <w:p w14:paraId="0B0A9256" w14:textId="77777777" w:rsidR="002A1771" w:rsidRPr="00FE17F7" w:rsidRDefault="002A1771" w:rsidP="00D84B3E">
            <w:pPr>
              <w:pStyle w:val="ICRPbasicnospace"/>
            </w:pPr>
            <w:r>
              <w:t>N. Ban</w:t>
            </w:r>
          </w:p>
        </w:tc>
        <w:tc>
          <w:tcPr>
            <w:tcW w:w="3226" w:type="dxa"/>
            <w:shd w:val="clear" w:color="auto" w:fill="auto"/>
          </w:tcPr>
          <w:p w14:paraId="2F9C9DF2" w14:textId="77777777" w:rsidR="002A1771" w:rsidRPr="00FE17F7" w:rsidRDefault="002A1771" w:rsidP="00D84B3E">
            <w:pPr>
              <w:pStyle w:val="ICRPbasicnospace"/>
            </w:pPr>
            <w:r>
              <w:t>G. Hirth</w:t>
            </w:r>
          </w:p>
        </w:tc>
        <w:tc>
          <w:tcPr>
            <w:tcW w:w="2620" w:type="dxa"/>
            <w:shd w:val="clear" w:color="auto" w:fill="auto"/>
          </w:tcPr>
          <w:p w14:paraId="2664294D" w14:textId="77777777" w:rsidR="002A1771" w:rsidRPr="00FE17F7" w:rsidRDefault="002A1771" w:rsidP="00D84B3E">
            <w:pPr>
              <w:pStyle w:val="ICRPbasicnospace"/>
            </w:pPr>
            <w:r>
              <w:t>T. Schneider</w:t>
            </w:r>
          </w:p>
        </w:tc>
      </w:tr>
      <w:tr w:rsidR="002A1771" w:rsidRPr="00FE17F7" w14:paraId="5892DE64" w14:textId="77777777" w:rsidTr="00D84B3E">
        <w:trPr>
          <w:trHeight w:val="277"/>
        </w:trPr>
        <w:tc>
          <w:tcPr>
            <w:tcW w:w="3226" w:type="dxa"/>
            <w:shd w:val="clear" w:color="auto" w:fill="auto"/>
          </w:tcPr>
          <w:p w14:paraId="3F6C87B1" w14:textId="77777777" w:rsidR="002A1771" w:rsidRDefault="002A1771" w:rsidP="00D84B3E">
            <w:pPr>
              <w:pStyle w:val="ICRPbasicnospace"/>
            </w:pPr>
            <w:r w:rsidRPr="005A5B59">
              <w:t>F. Bochud</w:t>
            </w:r>
          </w:p>
        </w:tc>
        <w:tc>
          <w:tcPr>
            <w:tcW w:w="3226" w:type="dxa"/>
            <w:shd w:val="clear" w:color="auto" w:fill="auto"/>
          </w:tcPr>
          <w:p w14:paraId="419E6C57" w14:textId="77777777" w:rsidR="002A1771" w:rsidRDefault="002A1771" w:rsidP="00D84B3E">
            <w:pPr>
              <w:pStyle w:val="ICRPbasicnospace"/>
            </w:pPr>
            <w:r>
              <w:t>T. Homma</w:t>
            </w:r>
          </w:p>
        </w:tc>
        <w:tc>
          <w:tcPr>
            <w:tcW w:w="2620" w:type="dxa"/>
            <w:shd w:val="clear" w:color="auto" w:fill="auto"/>
          </w:tcPr>
          <w:p w14:paraId="75AF13AE" w14:textId="77777777" w:rsidR="002A1771" w:rsidRDefault="002A1771" w:rsidP="00D84B3E">
            <w:pPr>
              <w:pStyle w:val="ICRPbasicnospace"/>
            </w:pPr>
            <w:r>
              <w:t>S. Shinkarev</w:t>
            </w:r>
          </w:p>
        </w:tc>
      </w:tr>
      <w:tr w:rsidR="002A1771" w:rsidRPr="00FE17F7" w14:paraId="59A5116F" w14:textId="77777777" w:rsidTr="00D84B3E">
        <w:trPr>
          <w:trHeight w:val="276"/>
        </w:trPr>
        <w:tc>
          <w:tcPr>
            <w:tcW w:w="3226" w:type="dxa"/>
            <w:shd w:val="clear" w:color="auto" w:fill="auto"/>
          </w:tcPr>
          <w:p w14:paraId="156A76A0" w14:textId="77777777" w:rsidR="002A1771" w:rsidRPr="00FE17F7" w:rsidRDefault="002A1771" w:rsidP="00D84B3E">
            <w:pPr>
              <w:pStyle w:val="ICRPbasicnospace"/>
            </w:pPr>
            <w:r w:rsidRPr="005A5B59">
              <w:t>M. Boyd</w:t>
            </w:r>
          </w:p>
        </w:tc>
        <w:tc>
          <w:tcPr>
            <w:tcW w:w="3226" w:type="dxa"/>
            <w:shd w:val="clear" w:color="auto" w:fill="auto"/>
          </w:tcPr>
          <w:p w14:paraId="305598DD" w14:textId="77777777" w:rsidR="002A1771" w:rsidRPr="00FE17F7" w:rsidRDefault="002A1771" w:rsidP="00D84B3E">
            <w:pPr>
              <w:pStyle w:val="ICRPbasicnospace"/>
            </w:pPr>
            <w:r>
              <w:t>C. Koch</w:t>
            </w:r>
          </w:p>
        </w:tc>
        <w:tc>
          <w:tcPr>
            <w:tcW w:w="2620" w:type="dxa"/>
            <w:shd w:val="clear" w:color="auto" w:fill="auto"/>
          </w:tcPr>
          <w:p w14:paraId="5ED62DBA" w14:textId="77777777" w:rsidR="002A1771" w:rsidRPr="00FE17F7" w:rsidRDefault="002A1771" w:rsidP="00D84B3E">
            <w:pPr>
              <w:pStyle w:val="ICRPbasicnospace"/>
            </w:pPr>
            <w:r>
              <w:t>J. Takala</w:t>
            </w:r>
          </w:p>
        </w:tc>
      </w:tr>
    </w:tbl>
    <w:p w14:paraId="2C9AB980" w14:textId="77777777" w:rsidR="002A1771" w:rsidRPr="00010C9A" w:rsidRDefault="002A1771" w:rsidP="002A1771">
      <w:pPr>
        <w:pStyle w:val="ICRPbasic"/>
        <w:rPr>
          <w:i/>
          <w:iCs/>
        </w:rPr>
      </w:pPr>
      <w:r w:rsidRPr="00010C9A">
        <w:rPr>
          <w:i/>
          <w:iCs/>
        </w:rPr>
        <w:t>(2021–2025)</w:t>
      </w:r>
    </w:p>
    <w:tbl>
      <w:tblPr>
        <w:tblW w:w="9072" w:type="dxa"/>
        <w:tblLayout w:type="fixed"/>
        <w:tblLook w:val="01E0" w:firstRow="1" w:lastRow="1" w:firstColumn="1" w:lastColumn="1" w:noHBand="0" w:noVBand="0"/>
      </w:tblPr>
      <w:tblGrid>
        <w:gridCol w:w="3226"/>
        <w:gridCol w:w="3226"/>
        <w:gridCol w:w="2620"/>
      </w:tblGrid>
      <w:tr w:rsidR="002A1771" w:rsidRPr="00FE17F7" w14:paraId="13DFB695" w14:textId="77777777" w:rsidTr="00D84B3E">
        <w:trPr>
          <w:trHeight w:val="276"/>
        </w:trPr>
        <w:tc>
          <w:tcPr>
            <w:tcW w:w="3226" w:type="dxa"/>
            <w:shd w:val="clear" w:color="auto" w:fill="auto"/>
          </w:tcPr>
          <w:p w14:paraId="46CB25BD" w14:textId="77777777" w:rsidR="002A1771" w:rsidRPr="00FE17F7" w:rsidRDefault="002A1771" w:rsidP="00D84B3E">
            <w:pPr>
              <w:pStyle w:val="ICRPbasicnospace"/>
            </w:pPr>
            <w:r w:rsidRPr="00BA61F9">
              <w:t>T</w:t>
            </w:r>
            <w:r>
              <w:t>.</w:t>
            </w:r>
            <w:r w:rsidRPr="00BA61F9">
              <w:t xml:space="preserve"> Schneider </w:t>
            </w:r>
            <w:r w:rsidRPr="00FE17F7">
              <w:t>(Chair)</w:t>
            </w:r>
          </w:p>
        </w:tc>
        <w:tc>
          <w:tcPr>
            <w:tcW w:w="3226" w:type="dxa"/>
            <w:shd w:val="clear" w:color="auto" w:fill="auto"/>
          </w:tcPr>
          <w:p w14:paraId="7A738D03" w14:textId="77777777" w:rsidR="002A1771" w:rsidRPr="00FE17F7" w:rsidRDefault="002A1771" w:rsidP="00D84B3E">
            <w:pPr>
              <w:pStyle w:val="ICRPbasicnospace"/>
              <w:tabs>
                <w:tab w:val="right" w:pos="2477"/>
              </w:tabs>
            </w:pPr>
            <w:r w:rsidRPr="00BA61F9">
              <w:t>Y</w:t>
            </w:r>
            <w:r>
              <w:t>.</w:t>
            </w:r>
            <w:r w:rsidRPr="00BA61F9">
              <w:t xml:space="preserve"> </w:t>
            </w:r>
            <w:proofErr w:type="spellStart"/>
            <w:r w:rsidRPr="00BA61F9">
              <w:t>Billarand</w:t>
            </w:r>
            <w:proofErr w:type="spellEnd"/>
            <w:r>
              <w:tab/>
            </w:r>
          </w:p>
        </w:tc>
        <w:tc>
          <w:tcPr>
            <w:tcW w:w="2620" w:type="dxa"/>
            <w:shd w:val="clear" w:color="auto" w:fill="auto"/>
          </w:tcPr>
          <w:p w14:paraId="3DF5A5A0" w14:textId="77777777" w:rsidR="002A1771" w:rsidRPr="00FE17F7" w:rsidRDefault="002A1771" w:rsidP="00D84B3E">
            <w:pPr>
              <w:pStyle w:val="ICRPbasicnospace"/>
            </w:pPr>
            <w:r w:rsidRPr="00BA61F9">
              <w:t>A</w:t>
            </w:r>
            <w:r>
              <w:t>.</w:t>
            </w:r>
            <w:r w:rsidRPr="00BA61F9">
              <w:t xml:space="preserve"> Mayall</w:t>
            </w:r>
          </w:p>
        </w:tc>
      </w:tr>
      <w:tr w:rsidR="002A1771" w:rsidRPr="00FE17F7" w14:paraId="2C01F681" w14:textId="77777777" w:rsidTr="00D84B3E">
        <w:trPr>
          <w:trHeight w:val="276"/>
        </w:trPr>
        <w:tc>
          <w:tcPr>
            <w:tcW w:w="3226" w:type="dxa"/>
            <w:shd w:val="clear" w:color="auto" w:fill="auto"/>
          </w:tcPr>
          <w:p w14:paraId="086C223D" w14:textId="77777777" w:rsidR="002A1771" w:rsidRPr="00FE17F7" w:rsidRDefault="002A1771" w:rsidP="00D84B3E">
            <w:pPr>
              <w:pStyle w:val="ICRPbasicnospace"/>
            </w:pPr>
            <w:r>
              <w:t>N. Martinez</w:t>
            </w:r>
            <w:r w:rsidRPr="00FE17F7">
              <w:t xml:space="preserve"> (Vice-</w:t>
            </w:r>
            <w:r>
              <w:t>C</w:t>
            </w:r>
            <w:r w:rsidRPr="00FE17F7">
              <w:t>hair)</w:t>
            </w:r>
          </w:p>
        </w:tc>
        <w:tc>
          <w:tcPr>
            <w:tcW w:w="3226" w:type="dxa"/>
            <w:shd w:val="clear" w:color="auto" w:fill="auto"/>
          </w:tcPr>
          <w:p w14:paraId="376A22CD" w14:textId="77777777" w:rsidR="002A1771" w:rsidRPr="00FE17F7" w:rsidRDefault="002A1771" w:rsidP="00D84B3E">
            <w:pPr>
              <w:pStyle w:val="ICRPbasicnospace"/>
            </w:pPr>
            <w:r w:rsidRPr="00BA61F9">
              <w:t>A</w:t>
            </w:r>
            <w:r>
              <w:t>.</w:t>
            </w:r>
            <w:r w:rsidRPr="00BA61F9">
              <w:t xml:space="preserve"> Canoba</w:t>
            </w:r>
          </w:p>
        </w:tc>
        <w:tc>
          <w:tcPr>
            <w:tcW w:w="2620" w:type="dxa"/>
            <w:shd w:val="clear" w:color="auto" w:fill="auto"/>
          </w:tcPr>
          <w:p w14:paraId="7DC5E57D" w14:textId="77777777" w:rsidR="002A1771" w:rsidRPr="00FE17F7" w:rsidRDefault="002A1771" w:rsidP="00D84B3E">
            <w:pPr>
              <w:pStyle w:val="ICRPbasicnospace"/>
            </w:pPr>
            <w:r w:rsidRPr="00BA61F9">
              <w:t>A</w:t>
            </w:r>
            <w:r>
              <w:t>.</w:t>
            </w:r>
            <w:r w:rsidRPr="00BA61F9">
              <w:t xml:space="preserve"> Nisbet</w:t>
            </w:r>
          </w:p>
        </w:tc>
      </w:tr>
      <w:tr w:rsidR="002A1771" w:rsidRPr="00FE17F7" w14:paraId="5C7502C8" w14:textId="77777777" w:rsidTr="00D84B3E">
        <w:trPr>
          <w:trHeight w:val="276"/>
        </w:trPr>
        <w:tc>
          <w:tcPr>
            <w:tcW w:w="3226" w:type="dxa"/>
            <w:shd w:val="clear" w:color="auto" w:fill="auto"/>
          </w:tcPr>
          <w:p w14:paraId="625A83B6" w14:textId="77777777" w:rsidR="002A1771" w:rsidRPr="00FE17F7" w:rsidRDefault="002A1771" w:rsidP="00D84B3E">
            <w:pPr>
              <w:pStyle w:val="ICRPbasicnospace"/>
            </w:pPr>
            <w:r w:rsidRPr="00BA61F9">
              <w:t xml:space="preserve">J. Garnier-Laplace </w:t>
            </w:r>
            <w:r w:rsidRPr="00FE17F7">
              <w:t>(Secretary)</w:t>
            </w:r>
          </w:p>
        </w:tc>
        <w:tc>
          <w:tcPr>
            <w:tcW w:w="3226" w:type="dxa"/>
            <w:shd w:val="clear" w:color="auto" w:fill="auto"/>
          </w:tcPr>
          <w:p w14:paraId="457BB695" w14:textId="77777777" w:rsidR="002A1771" w:rsidRPr="00FE17F7" w:rsidRDefault="002A1771" w:rsidP="00D84B3E">
            <w:pPr>
              <w:pStyle w:val="ICRPbasicnospace"/>
            </w:pPr>
            <w:r w:rsidRPr="00BA61F9">
              <w:t>E</w:t>
            </w:r>
            <w:r>
              <w:t>.</w:t>
            </w:r>
            <w:r w:rsidRPr="00BA61F9">
              <w:t xml:space="preserve"> Gallego</w:t>
            </w:r>
          </w:p>
        </w:tc>
        <w:tc>
          <w:tcPr>
            <w:tcW w:w="2620" w:type="dxa"/>
            <w:shd w:val="clear" w:color="auto" w:fill="auto"/>
          </w:tcPr>
          <w:p w14:paraId="36184753" w14:textId="77777777" w:rsidR="002A1771" w:rsidRPr="00FE17F7" w:rsidRDefault="002A1771" w:rsidP="00D84B3E">
            <w:pPr>
              <w:pStyle w:val="ICRPbasicnospace"/>
            </w:pPr>
            <w:r w:rsidRPr="00BA61F9">
              <w:t>S</w:t>
            </w:r>
            <w:r>
              <w:t>.</w:t>
            </w:r>
            <w:r w:rsidRPr="00BA61F9">
              <w:t xml:space="preserve"> Shinkarev</w:t>
            </w:r>
          </w:p>
        </w:tc>
      </w:tr>
      <w:tr w:rsidR="002A1771" w:rsidRPr="00FE17F7" w14:paraId="5B703566" w14:textId="77777777" w:rsidTr="00D84B3E">
        <w:trPr>
          <w:trHeight w:val="276"/>
        </w:trPr>
        <w:tc>
          <w:tcPr>
            <w:tcW w:w="3226" w:type="dxa"/>
            <w:shd w:val="clear" w:color="auto" w:fill="auto"/>
          </w:tcPr>
          <w:p w14:paraId="0FF8A560" w14:textId="77777777" w:rsidR="002A1771" w:rsidRPr="00FE17F7" w:rsidRDefault="002A1771" w:rsidP="00D84B3E">
            <w:pPr>
              <w:pStyle w:val="ICRPbasicnospace"/>
            </w:pPr>
            <w:r w:rsidRPr="00BA61F9">
              <w:t>J</w:t>
            </w:r>
            <w:r>
              <w:t>.</w:t>
            </w:r>
            <w:r w:rsidRPr="00BA61F9">
              <w:t xml:space="preserve"> Burtt</w:t>
            </w:r>
          </w:p>
        </w:tc>
        <w:tc>
          <w:tcPr>
            <w:tcW w:w="3226" w:type="dxa"/>
            <w:shd w:val="clear" w:color="auto" w:fill="auto"/>
          </w:tcPr>
          <w:p w14:paraId="50ED0ADF" w14:textId="77777777" w:rsidR="002A1771" w:rsidRPr="00FE17F7" w:rsidRDefault="002A1771" w:rsidP="00D84B3E">
            <w:pPr>
              <w:pStyle w:val="ICRPbasicnospace"/>
            </w:pPr>
            <w:r w:rsidRPr="00BA61F9">
              <w:t>D</w:t>
            </w:r>
            <w:r>
              <w:t>.</w:t>
            </w:r>
            <w:r w:rsidRPr="00BA61F9">
              <w:t xml:space="preserve"> Giuffrida</w:t>
            </w:r>
          </w:p>
        </w:tc>
        <w:tc>
          <w:tcPr>
            <w:tcW w:w="2620" w:type="dxa"/>
            <w:shd w:val="clear" w:color="auto" w:fill="auto"/>
          </w:tcPr>
          <w:p w14:paraId="30C6F34A" w14:textId="77777777" w:rsidR="002A1771" w:rsidRPr="00FE17F7" w:rsidRDefault="002A1771" w:rsidP="00D84B3E">
            <w:pPr>
              <w:pStyle w:val="ICRPbasicnospace"/>
            </w:pPr>
            <w:r w:rsidRPr="00BA61F9">
              <w:t>J</w:t>
            </w:r>
            <w:r>
              <w:t>.</w:t>
            </w:r>
            <w:r w:rsidRPr="00BA61F9">
              <w:t xml:space="preserve"> Takala</w:t>
            </w:r>
          </w:p>
        </w:tc>
      </w:tr>
      <w:tr w:rsidR="002A1771" w:rsidRPr="00FE17F7" w14:paraId="4B88E709" w14:textId="77777777" w:rsidTr="00D84B3E">
        <w:trPr>
          <w:trHeight w:val="276"/>
        </w:trPr>
        <w:tc>
          <w:tcPr>
            <w:tcW w:w="3226" w:type="dxa"/>
            <w:shd w:val="clear" w:color="auto" w:fill="auto"/>
          </w:tcPr>
          <w:p w14:paraId="7ABD69E2" w14:textId="77777777" w:rsidR="002A1771" w:rsidRPr="00FE17F7" w:rsidRDefault="002A1771" w:rsidP="00D84B3E">
            <w:pPr>
              <w:pStyle w:val="ICRPbasicnospace"/>
            </w:pPr>
            <w:r w:rsidRPr="00BA61F9">
              <w:t>M</w:t>
            </w:r>
            <w:r>
              <w:t>.</w:t>
            </w:r>
            <w:r w:rsidRPr="00BA61F9">
              <w:t xml:space="preserve"> Baek</w:t>
            </w:r>
          </w:p>
        </w:tc>
        <w:tc>
          <w:tcPr>
            <w:tcW w:w="3226" w:type="dxa"/>
            <w:shd w:val="clear" w:color="auto" w:fill="auto"/>
          </w:tcPr>
          <w:p w14:paraId="4F940F84" w14:textId="77777777" w:rsidR="002A1771" w:rsidRPr="00FE17F7" w:rsidRDefault="002A1771" w:rsidP="00D84B3E">
            <w:pPr>
              <w:pStyle w:val="ICRPbasicnospace"/>
            </w:pPr>
            <w:r w:rsidRPr="00BA61F9">
              <w:t>C</w:t>
            </w:r>
            <w:r>
              <w:t>.</w:t>
            </w:r>
            <w:r w:rsidRPr="00BA61F9">
              <w:t>B</w:t>
            </w:r>
            <w:r>
              <w:t>.</w:t>
            </w:r>
            <w:r w:rsidRPr="00BA61F9">
              <w:t xml:space="preserve"> Koch</w:t>
            </w:r>
          </w:p>
        </w:tc>
        <w:tc>
          <w:tcPr>
            <w:tcW w:w="2620" w:type="dxa"/>
            <w:shd w:val="clear" w:color="auto" w:fill="auto"/>
          </w:tcPr>
          <w:p w14:paraId="7E242413" w14:textId="77777777" w:rsidR="002A1771" w:rsidRPr="00FE17F7" w:rsidRDefault="002A1771" w:rsidP="00D84B3E">
            <w:pPr>
              <w:pStyle w:val="ICRPbasicnospace"/>
            </w:pPr>
            <w:r w:rsidRPr="00BA61F9">
              <w:t>H</w:t>
            </w:r>
            <w:r>
              <w:t>.</w:t>
            </w:r>
            <w:r w:rsidRPr="00BA61F9">
              <w:t xml:space="preserve"> Yoshida</w:t>
            </w:r>
          </w:p>
        </w:tc>
      </w:tr>
      <w:tr w:rsidR="002A1771" w:rsidRPr="00FE17F7" w14:paraId="09183A43" w14:textId="77777777" w:rsidTr="00D84B3E">
        <w:trPr>
          <w:trHeight w:val="276"/>
        </w:trPr>
        <w:tc>
          <w:tcPr>
            <w:tcW w:w="3226" w:type="dxa"/>
            <w:shd w:val="clear" w:color="auto" w:fill="auto"/>
          </w:tcPr>
          <w:p w14:paraId="5E14211B" w14:textId="77777777" w:rsidR="002A1771" w:rsidRPr="00FE17F7" w:rsidRDefault="002A1771" w:rsidP="00D84B3E">
            <w:pPr>
              <w:pStyle w:val="ICRPbasicnospace"/>
            </w:pPr>
            <w:r w:rsidRPr="00BA61F9">
              <w:t>N</w:t>
            </w:r>
            <w:r>
              <w:t>.</w:t>
            </w:r>
            <w:r w:rsidRPr="00BA61F9">
              <w:t xml:space="preserve"> Ban</w:t>
            </w:r>
          </w:p>
        </w:tc>
        <w:tc>
          <w:tcPr>
            <w:tcW w:w="3226" w:type="dxa"/>
            <w:shd w:val="clear" w:color="auto" w:fill="auto"/>
          </w:tcPr>
          <w:p w14:paraId="4546E4AC" w14:textId="77777777" w:rsidR="002A1771" w:rsidRPr="00FE17F7" w:rsidRDefault="002A1771" w:rsidP="00D84B3E">
            <w:pPr>
              <w:pStyle w:val="ICRPbasicnospace"/>
            </w:pPr>
            <w:r w:rsidRPr="00BA61F9">
              <w:t>Y</w:t>
            </w:r>
            <w:r>
              <w:t>.</w:t>
            </w:r>
            <w:r w:rsidRPr="00BA61F9">
              <w:t xml:space="preserve"> Mao</w:t>
            </w:r>
          </w:p>
        </w:tc>
        <w:tc>
          <w:tcPr>
            <w:tcW w:w="2620" w:type="dxa"/>
            <w:shd w:val="clear" w:color="auto" w:fill="auto"/>
          </w:tcPr>
          <w:p w14:paraId="4BBF687C" w14:textId="77777777" w:rsidR="002A1771" w:rsidRPr="00FE17F7" w:rsidRDefault="002A1771" w:rsidP="00D84B3E">
            <w:pPr>
              <w:pStyle w:val="ICRPbasicnospace"/>
            </w:pPr>
            <w:r w:rsidRPr="00BA61F9">
              <w:t>F</w:t>
            </w:r>
            <w:r>
              <w:t>.</w:t>
            </w:r>
            <w:r w:rsidRPr="00BA61F9">
              <w:t xml:space="preserve"> </w:t>
            </w:r>
            <w:proofErr w:type="spellStart"/>
            <w:r w:rsidRPr="00BA61F9">
              <w:t>Zölzer</w:t>
            </w:r>
            <w:proofErr w:type="spellEnd"/>
          </w:p>
        </w:tc>
      </w:tr>
    </w:tbl>
    <w:p w14:paraId="017FCE52" w14:textId="77777777" w:rsidR="002A1771" w:rsidRPr="00562C27" w:rsidRDefault="002A1771" w:rsidP="002A1771">
      <w:pPr>
        <w:pStyle w:val="ICRPbasic"/>
        <w:rPr>
          <w:b/>
          <w:bCs/>
        </w:rPr>
      </w:pPr>
      <w:r w:rsidRPr="00562C27">
        <w:rPr>
          <w:b/>
          <w:bCs/>
        </w:rPr>
        <w:t xml:space="preserve">Committee </w:t>
      </w:r>
      <w:r>
        <w:rPr>
          <w:b/>
          <w:bCs/>
        </w:rPr>
        <w:t>4</w:t>
      </w:r>
      <w:r w:rsidRPr="00562C27">
        <w:rPr>
          <w:b/>
          <w:bCs/>
        </w:rPr>
        <w:t xml:space="preserve"> emeritus members</w:t>
      </w:r>
    </w:p>
    <w:tbl>
      <w:tblPr>
        <w:tblW w:w="9072" w:type="dxa"/>
        <w:tblLook w:val="01E0" w:firstRow="1" w:lastRow="1" w:firstColumn="1" w:lastColumn="1" w:noHBand="0" w:noVBand="0"/>
      </w:tblPr>
      <w:tblGrid>
        <w:gridCol w:w="3215"/>
        <w:gridCol w:w="3212"/>
        <w:gridCol w:w="2645"/>
      </w:tblGrid>
      <w:tr w:rsidR="002A1771" w:rsidRPr="00562C27" w14:paraId="3E12780F" w14:textId="77777777" w:rsidTr="00D84B3E">
        <w:trPr>
          <w:trHeight w:val="276"/>
        </w:trPr>
        <w:tc>
          <w:tcPr>
            <w:tcW w:w="3215" w:type="dxa"/>
            <w:shd w:val="clear" w:color="auto" w:fill="auto"/>
          </w:tcPr>
          <w:p w14:paraId="1F1AD930" w14:textId="77777777" w:rsidR="002A1771" w:rsidRPr="00562C27" w:rsidRDefault="002A1771" w:rsidP="00D84B3E">
            <w:pPr>
              <w:pStyle w:val="ICRPbasicnospace"/>
            </w:pPr>
            <w:r w:rsidRPr="005A5B59">
              <w:t>J-F. Lecomte</w:t>
            </w:r>
          </w:p>
        </w:tc>
        <w:tc>
          <w:tcPr>
            <w:tcW w:w="3212" w:type="dxa"/>
            <w:shd w:val="clear" w:color="auto" w:fill="auto"/>
          </w:tcPr>
          <w:p w14:paraId="640ABF28" w14:textId="77777777" w:rsidR="002A1771" w:rsidRPr="00562C27" w:rsidRDefault="002A1771" w:rsidP="00D84B3E">
            <w:pPr>
              <w:pStyle w:val="ICRPbasicnospace"/>
            </w:pPr>
          </w:p>
        </w:tc>
        <w:tc>
          <w:tcPr>
            <w:tcW w:w="2645" w:type="dxa"/>
            <w:shd w:val="clear" w:color="auto" w:fill="auto"/>
          </w:tcPr>
          <w:p w14:paraId="0B545A22" w14:textId="77777777" w:rsidR="002A1771" w:rsidRPr="00562C27" w:rsidRDefault="002A1771" w:rsidP="00D84B3E">
            <w:pPr>
              <w:pStyle w:val="ICRPbasicnospace"/>
            </w:pPr>
          </w:p>
        </w:tc>
      </w:tr>
    </w:tbl>
    <w:p w14:paraId="6594A9A5" w14:textId="77777777" w:rsidR="002A1771" w:rsidRPr="00883D75" w:rsidRDefault="002A1771" w:rsidP="002A1771">
      <w:pPr>
        <w:spacing w:before="240" w:after="240"/>
        <w:jc w:val="both"/>
        <w:rPr>
          <w:rFonts w:cstheme="minorHAnsi"/>
          <w:b/>
          <w:bCs/>
        </w:rPr>
      </w:pPr>
      <w:r w:rsidRPr="00883D75">
        <w:rPr>
          <w:rFonts w:cstheme="minorHAnsi"/>
          <w:b/>
          <w:bCs/>
        </w:rPr>
        <w:t>Main Commission members at the time of approval of this publication</w:t>
      </w:r>
    </w:p>
    <w:p w14:paraId="133D02C0" w14:textId="77777777" w:rsidR="002A1771" w:rsidRPr="00883D75" w:rsidRDefault="002A1771" w:rsidP="002A1771">
      <w:pPr>
        <w:jc w:val="both"/>
        <w:rPr>
          <w:rFonts w:cstheme="minorHAnsi"/>
        </w:rPr>
      </w:pPr>
      <w:r w:rsidRPr="00883D75">
        <w:rPr>
          <w:rFonts w:cstheme="minorHAnsi"/>
        </w:rPr>
        <w:t xml:space="preserve">Chair: W. Rühm, </w:t>
      </w:r>
      <w:r w:rsidRPr="00883D75">
        <w:rPr>
          <w:rFonts w:cstheme="minorHAnsi"/>
          <w:i/>
        </w:rPr>
        <w:t>Germany</w:t>
      </w:r>
    </w:p>
    <w:p w14:paraId="269F3121" w14:textId="77777777" w:rsidR="002A1771" w:rsidRPr="00883D75" w:rsidRDefault="002A1771" w:rsidP="002A1771">
      <w:pPr>
        <w:jc w:val="both"/>
        <w:rPr>
          <w:rFonts w:cstheme="minorHAnsi"/>
        </w:rPr>
      </w:pPr>
      <w:r w:rsidRPr="00883D75">
        <w:rPr>
          <w:rFonts w:cstheme="minorHAnsi"/>
        </w:rPr>
        <w:t xml:space="preserve">Vice-Chair: S. </w:t>
      </w:r>
      <w:proofErr w:type="spellStart"/>
      <w:r w:rsidRPr="00883D75">
        <w:rPr>
          <w:rFonts w:cstheme="minorHAnsi"/>
        </w:rPr>
        <w:t>Bouffler</w:t>
      </w:r>
      <w:proofErr w:type="spellEnd"/>
      <w:r w:rsidRPr="00883D75">
        <w:rPr>
          <w:rFonts w:cstheme="minorHAnsi"/>
        </w:rPr>
        <w:t xml:space="preserve">, </w:t>
      </w:r>
      <w:r w:rsidRPr="00883D75">
        <w:rPr>
          <w:rFonts w:cstheme="minorHAnsi"/>
          <w:i/>
        </w:rPr>
        <w:t>UK</w:t>
      </w:r>
      <w:r w:rsidRPr="00883D75" w:rsidDel="00431B1D">
        <w:rPr>
          <w:rFonts w:cstheme="minorHAnsi"/>
        </w:rPr>
        <w:t xml:space="preserve"> </w:t>
      </w:r>
    </w:p>
    <w:p w14:paraId="442C8D5D" w14:textId="77777777" w:rsidR="002A1771" w:rsidRPr="00883D75" w:rsidRDefault="002A1771" w:rsidP="002A1771">
      <w:pPr>
        <w:jc w:val="both"/>
        <w:rPr>
          <w:rFonts w:cstheme="minorHAnsi"/>
        </w:rPr>
      </w:pPr>
      <w:r w:rsidRPr="00883D75">
        <w:rPr>
          <w:rFonts w:cstheme="minorHAnsi"/>
        </w:rPr>
        <w:t xml:space="preserve">Scientific Secretary: C.H. Clement, </w:t>
      </w:r>
      <w:r w:rsidRPr="00883D75">
        <w:rPr>
          <w:rFonts w:cstheme="minorHAnsi"/>
          <w:i/>
        </w:rPr>
        <w:t>Canada</w:t>
      </w:r>
      <w:r w:rsidRPr="00883D75">
        <w:rPr>
          <w:rFonts w:cstheme="minorHAnsi"/>
        </w:rPr>
        <w:t xml:space="preserve">; </w:t>
      </w:r>
      <w:r w:rsidRPr="00883D75">
        <w:rPr>
          <w:rFonts w:cstheme="minorHAnsi"/>
          <w:i/>
        </w:rPr>
        <w:t>sci.sec@icrp.org</w:t>
      </w:r>
      <w:r w:rsidRPr="00883D75">
        <w:rPr>
          <w:rFonts w:cstheme="minorHAnsi"/>
          <w:i/>
          <w:vertAlign w:val="superscript"/>
        </w:rPr>
        <w:t>*</w:t>
      </w:r>
    </w:p>
    <w:p w14:paraId="7C380279" w14:textId="77777777" w:rsidR="002A1771" w:rsidRPr="00883D75" w:rsidRDefault="002A1771" w:rsidP="002A1771">
      <w:pPr>
        <w:jc w:val="both"/>
        <w:rPr>
          <w:rFonts w:cstheme="minorHAnsi"/>
        </w:rPr>
      </w:pPr>
    </w:p>
    <w:p w14:paraId="0BC3C60F" w14:textId="77777777" w:rsidR="002A1771" w:rsidRPr="00883D75" w:rsidRDefault="002A1771" w:rsidP="002A1771">
      <w:pPr>
        <w:jc w:val="both"/>
        <w:rPr>
          <w:rFonts w:cstheme="minorHAnsi"/>
        </w:rPr>
      </w:pPr>
      <w:r w:rsidRPr="00883D75">
        <w:rPr>
          <w:rFonts w:cstheme="minorHAnsi"/>
        </w:rPr>
        <w:t xml:space="preserve">K.E. Applegate, </w:t>
      </w:r>
      <w:r w:rsidRPr="00883D75">
        <w:rPr>
          <w:rFonts w:cstheme="minorHAnsi"/>
          <w:i/>
        </w:rPr>
        <w:t>USA</w:t>
      </w:r>
      <w:r w:rsidRPr="00883D75">
        <w:rPr>
          <w:rFonts w:cstheme="minorHAnsi"/>
        </w:rPr>
        <w:tab/>
      </w:r>
      <w:r w:rsidRPr="00883D75">
        <w:rPr>
          <w:rFonts w:cstheme="minorHAnsi"/>
        </w:rPr>
        <w:tab/>
        <w:t xml:space="preserve">D. Laurier, </w:t>
      </w:r>
      <w:r w:rsidRPr="00883D75">
        <w:rPr>
          <w:rFonts w:cstheme="minorHAnsi"/>
          <w:i/>
        </w:rPr>
        <w:t>France</w:t>
      </w:r>
      <w:r w:rsidRPr="00883D75">
        <w:rPr>
          <w:rFonts w:cstheme="minorHAnsi"/>
        </w:rPr>
        <w:tab/>
      </w:r>
      <w:r w:rsidRPr="00883D75">
        <w:rPr>
          <w:rFonts w:cstheme="minorHAnsi"/>
        </w:rPr>
        <w:tab/>
      </w:r>
      <w:r w:rsidRPr="00883D75">
        <w:rPr>
          <w:rFonts w:cstheme="minorHAnsi"/>
          <w:b/>
          <w:bCs/>
        </w:rPr>
        <w:t>Emeritus members</w:t>
      </w:r>
    </w:p>
    <w:p w14:paraId="7091E8B7" w14:textId="77777777" w:rsidR="002A1771" w:rsidRPr="00883D75" w:rsidRDefault="002A1771" w:rsidP="002A1771">
      <w:pPr>
        <w:jc w:val="both"/>
        <w:rPr>
          <w:rFonts w:cstheme="minorHAnsi"/>
        </w:rPr>
      </w:pPr>
      <w:r w:rsidRPr="00883D75">
        <w:rPr>
          <w:rFonts w:cstheme="minorHAnsi"/>
          <w:iCs/>
        </w:rPr>
        <w:t xml:space="preserve">F. Bochud, </w:t>
      </w:r>
      <w:r w:rsidRPr="00883D75">
        <w:rPr>
          <w:rFonts w:cstheme="minorHAnsi"/>
          <w:i/>
        </w:rPr>
        <w:t>Switzerland</w:t>
      </w:r>
      <w:r w:rsidRPr="00883D75">
        <w:rPr>
          <w:rFonts w:cstheme="minorHAnsi"/>
        </w:rPr>
        <w:tab/>
        <w:t xml:space="preserve">S. Liu, </w:t>
      </w:r>
      <w:r w:rsidRPr="00883D75">
        <w:rPr>
          <w:rFonts w:cstheme="minorHAnsi"/>
          <w:i/>
        </w:rPr>
        <w:t>China</w:t>
      </w:r>
      <w:r>
        <w:rPr>
          <w:rFonts w:cstheme="minorHAnsi"/>
          <w:i/>
        </w:rPr>
        <w:tab/>
      </w:r>
      <w:r w:rsidRPr="00883D75">
        <w:rPr>
          <w:rFonts w:cstheme="minorHAnsi"/>
        </w:rPr>
        <w:tab/>
      </w:r>
      <w:r w:rsidRPr="00883D75">
        <w:rPr>
          <w:rFonts w:cstheme="minorHAnsi"/>
        </w:rPr>
        <w:tab/>
        <w:t xml:space="preserve">R.H. Clarke, </w:t>
      </w:r>
      <w:r w:rsidRPr="00883D75">
        <w:rPr>
          <w:rFonts w:cstheme="minorHAnsi"/>
          <w:i/>
        </w:rPr>
        <w:t>UK</w:t>
      </w:r>
    </w:p>
    <w:p w14:paraId="2899A852" w14:textId="77777777" w:rsidR="002A1771" w:rsidRPr="00883D75" w:rsidRDefault="002A1771" w:rsidP="002A1771">
      <w:pPr>
        <w:jc w:val="both"/>
        <w:rPr>
          <w:rFonts w:cstheme="minorHAnsi"/>
        </w:rPr>
      </w:pPr>
      <w:r w:rsidRPr="00883D75">
        <w:rPr>
          <w:rFonts w:cstheme="minorHAnsi"/>
        </w:rPr>
        <w:t xml:space="preserve">K.W. Cho, </w:t>
      </w:r>
      <w:r w:rsidRPr="00883D75">
        <w:rPr>
          <w:rFonts w:cstheme="minorHAnsi"/>
          <w:i/>
        </w:rPr>
        <w:t>Korea</w:t>
      </w:r>
      <w:r>
        <w:rPr>
          <w:rFonts w:cstheme="minorHAnsi"/>
        </w:rPr>
        <w:tab/>
      </w:r>
      <w:r>
        <w:rPr>
          <w:rFonts w:cstheme="minorHAnsi"/>
        </w:rPr>
        <w:tab/>
      </w:r>
      <w:r w:rsidRPr="00883D75">
        <w:rPr>
          <w:rFonts w:cstheme="minorHAnsi"/>
        </w:rPr>
        <w:t xml:space="preserve">S. Romanov, </w:t>
      </w:r>
      <w:r w:rsidRPr="00883D75">
        <w:rPr>
          <w:rFonts w:cstheme="minorHAnsi"/>
          <w:i/>
        </w:rPr>
        <w:t>Russia</w:t>
      </w:r>
      <w:r w:rsidRPr="00883D75">
        <w:rPr>
          <w:rFonts w:cstheme="minorHAnsi"/>
          <w:i/>
        </w:rPr>
        <w:tab/>
      </w:r>
      <w:r w:rsidRPr="00883D75">
        <w:rPr>
          <w:rFonts w:cstheme="minorHAnsi"/>
        </w:rPr>
        <w:tab/>
      </w:r>
      <w:r>
        <w:rPr>
          <w:rFonts w:cstheme="minorHAnsi"/>
        </w:rPr>
        <w:t>C. Cousins</w:t>
      </w:r>
      <w:r w:rsidRPr="00883D75">
        <w:rPr>
          <w:rFonts w:cstheme="minorHAnsi"/>
        </w:rPr>
        <w:t xml:space="preserve">, </w:t>
      </w:r>
      <w:r w:rsidRPr="00883D75">
        <w:rPr>
          <w:rFonts w:cstheme="minorHAnsi"/>
          <w:i/>
        </w:rPr>
        <w:t>U</w:t>
      </w:r>
      <w:r>
        <w:rPr>
          <w:rFonts w:cstheme="minorHAnsi"/>
          <w:i/>
        </w:rPr>
        <w:t>K</w:t>
      </w:r>
    </w:p>
    <w:p w14:paraId="29DB24BD" w14:textId="77777777" w:rsidR="002A1771" w:rsidRPr="00883D75" w:rsidRDefault="002A1771" w:rsidP="002A1771">
      <w:pPr>
        <w:jc w:val="both"/>
        <w:rPr>
          <w:rFonts w:cstheme="minorHAnsi"/>
        </w:rPr>
      </w:pPr>
      <w:r w:rsidRPr="00883D75">
        <w:rPr>
          <w:rFonts w:cstheme="minorHAnsi"/>
          <w:iCs/>
        </w:rPr>
        <w:t xml:space="preserve">G. Hirth, </w:t>
      </w:r>
      <w:r w:rsidRPr="00883D75">
        <w:rPr>
          <w:rFonts w:cstheme="minorHAnsi"/>
          <w:i/>
        </w:rPr>
        <w:t>Australia</w:t>
      </w:r>
      <w:r w:rsidRPr="00883D75">
        <w:rPr>
          <w:rFonts w:cstheme="minorHAnsi"/>
        </w:rPr>
        <w:tab/>
      </w:r>
      <w:r w:rsidRPr="00883D75">
        <w:rPr>
          <w:rFonts w:cstheme="minorHAnsi"/>
        </w:rPr>
        <w:tab/>
      </w:r>
      <w:r w:rsidRPr="00883D75">
        <w:rPr>
          <w:rFonts w:cstheme="minorHAnsi"/>
          <w:iCs/>
        </w:rPr>
        <w:t xml:space="preserve">T. Schneider, </w:t>
      </w:r>
      <w:r w:rsidRPr="00883D75">
        <w:rPr>
          <w:rFonts w:cstheme="minorHAnsi"/>
          <w:i/>
        </w:rPr>
        <w:t>France</w:t>
      </w:r>
      <w:r w:rsidRPr="00883D75">
        <w:rPr>
          <w:rFonts w:cstheme="minorHAnsi"/>
        </w:rPr>
        <w:tab/>
      </w:r>
      <w:r w:rsidRPr="00883D75">
        <w:rPr>
          <w:rFonts w:cstheme="minorHAnsi"/>
        </w:rPr>
        <w:tab/>
        <w:t xml:space="preserve">J. </w:t>
      </w:r>
      <w:r w:rsidRPr="00B150D5">
        <w:rPr>
          <w:rFonts w:cstheme="minorHAnsi"/>
        </w:rPr>
        <w:t>Lochard</w:t>
      </w:r>
      <w:r w:rsidRPr="00883D75">
        <w:rPr>
          <w:rFonts w:cstheme="minorHAnsi"/>
        </w:rPr>
        <w:t xml:space="preserve">, </w:t>
      </w:r>
      <w:r>
        <w:rPr>
          <w:rFonts w:cstheme="minorHAnsi"/>
          <w:i/>
        </w:rPr>
        <w:t>France</w:t>
      </w:r>
    </w:p>
    <w:p w14:paraId="571D1D0F" w14:textId="77777777" w:rsidR="002A1771" w:rsidRPr="00883D75" w:rsidRDefault="002A1771" w:rsidP="002A1771">
      <w:pPr>
        <w:jc w:val="both"/>
        <w:rPr>
          <w:rFonts w:cstheme="minorHAnsi"/>
        </w:rPr>
      </w:pPr>
      <w:r w:rsidRPr="00883D75">
        <w:rPr>
          <w:rFonts w:cstheme="minorHAnsi"/>
        </w:rPr>
        <w:t xml:space="preserve">M. Kai, </w:t>
      </w:r>
      <w:r w:rsidRPr="00883D75">
        <w:rPr>
          <w:rFonts w:cstheme="minorHAnsi"/>
          <w:i/>
        </w:rPr>
        <w:t>Japan</w:t>
      </w:r>
      <w:r w:rsidRPr="00883D75">
        <w:rPr>
          <w:rFonts w:cstheme="minorHAnsi"/>
        </w:rPr>
        <w:tab/>
      </w:r>
      <w:r w:rsidRPr="00883D75">
        <w:rPr>
          <w:rFonts w:cstheme="minorHAnsi"/>
        </w:rPr>
        <w:tab/>
      </w:r>
      <w:r w:rsidRPr="00883D75">
        <w:rPr>
          <w:rFonts w:cstheme="minorHAnsi"/>
        </w:rPr>
        <w:tab/>
        <w:t xml:space="preserve">A. Wojcik, </w:t>
      </w:r>
      <w:r w:rsidRPr="00883D75">
        <w:rPr>
          <w:rFonts w:cstheme="minorHAnsi"/>
          <w:i/>
          <w:iCs/>
        </w:rPr>
        <w:t>Sweden</w:t>
      </w:r>
      <w:r w:rsidRPr="00883D75">
        <w:rPr>
          <w:rFonts w:cstheme="minorHAnsi"/>
        </w:rPr>
        <w:tab/>
      </w:r>
      <w:r>
        <w:rPr>
          <w:rFonts w:cstheme="minorHAnsi"/>
        </w:rPr>
        <w:tab/>
      </w:r>
      <w:r w:rsidRPr="00883D75">
        <w:rPr>
          <w:rFonts w:cstheme="minorHAnsi"/>
        </w:rPr>
        <w:t xml:space="preserve">F.A. Mettler Jr, </w:t>
      </w:r>
      <w:r w:rsidRPr="00883D75">
        <w:rPr>
          <w:rFonts w:cstheme="minorHAnsi"/>
          <w:i/>
        </w:rPr>
        <w:t>USA</w:t>
      </w:r>
    </w:p>
    <w:p w14:paraId="12F09D59" w14:textId="77777777" w:rsidR="002A1771" w:rsidRPr="00883D75" w:rsidRDefault="002A1771" w:rsidP="002A1771">
      <w:pPr>
        <w:jc w:val="both"/>
        <w:rPr>
          <w:rFonts w:cstheme="minorHAnsi"/>
        </w:rPr>
      </w:pPr>
      <w:r>
        <w:rPr>
          <w:rFonts w:cstheme="minorHAnsi"/>
        </w:rPr>
        <w:tab/>
      </w:r>
      <w:r>
        <w:rPr>
          <w:rFonts w:cstheme="minorHAnsi"/>
        </w:rPr>
        <w:tab/>
      </w:r>
      <w:r w:rsidRPr="00883D75">
        <w:rPr>
          <w:rFonts w:cstheme="minorHAnsi"/>
        </w:rPr>
        <w:tab/>
      </w:r>
      <w:r w:rsidRPr="00883D75">
        <w:rPr>
          <w:rFonts w:cstheme="minorHAnsi"/>
        </w:rPr>
        <w:tab/>
      </w:r>
      <w:r w:rsidRPr="00883D75">
        <w:rPr>
          <w:rFonts w:cstheme="minorHAnsi"/>
        </w:rPr>
        <w:tab/>
      </w:r>
      <w:r w:rsidRPr="00883D75">
        <w:rPr>
          <w:rFonts w:cstheme="minorHAnsi"/>
        </w:rPr>
        <w:tab/>
      </w:r>
      <w:r w:rsidRPr="00883D75">
        <w:rPr>
          <w:rFonts w:cstheme="minorHAnsi"/>
        </w:rPr>
        <w:tab/>
      </w:r>
      <w:r w:rsidRPr="00883D75">
        <w:rPr>
          <w:rFonts w:cstheme="minorHAnsi"/>
        </w:rPr>
        <w:tab/>
        <w:t xml:space="preserve">R.J. </w:t>
      </w:r>
      <w:proofErr w:type="spellStart"/>
      <w:r w:rsidRPr="00883D75">
        <w:rPr>
          <w:rFonts w:cstheme="minorHAnsi"/>
        </w:rPr>
        <w:t>Pentreath</w:t>
      </w:r>
      <w:proofErr w:type="spellEnd"/>
      <w:r w:rsidRPr="00883D75">
        <w:rPr>
          <w:rFonts w:cstheme="minorHAnsi"/>
        </w:rPr>
        <w:t xml:space="preserve">, </w:t>
      </w:r>
      <w:r w:rsidRPr="00883D75">
        <w:rPr>
          <w:rFonts w:cstheme="minorHAnsi"/>
          <w:i/>
        </w:rPr>
        <w:t>UK</w:t>
      </w:r>
    </w:p>
    <w:p w14:paraId="33D10B17" w14:textId="77777777" w:rsidR="002A1771" w:rsidRDefault="002A1771" w:rsidP="002A1771">
      <w:pPr>
        <w:jc w:val="both"/>
        <w:rPr>
          <w:rFonts w:cstheme="minorHAnsi"/>
          <w:i/>
        </w:rPr>
      </w:pPr>
      <w:r w:rsidRPr="00883D75">
        <w:rPr>
          <w:rFonts w:cstheme="minorHAnsi"/>
        </w:rPr>
        <w:tab/>
      </w:r>
      <w:r>
        <w:rPr>
          <w:rFonts w:cstheme="minorHAnsi"/>
        </w:rPr>
        <w:tab/>
      </w:r>
      <w:r>
        <w:rPr>
          <w:rFonts w:cstheme="minorHAnsi"/>
        </w:rPr>
        <w:tab/>
      </w:r>
      <w:r>
        <w:rPr>
          <w:rFonts w:cstheme="minorHAnsi"/>
        </w:rPr>
        <w:tab/>
      </w:r>
      <w:r w:rsidRPr="00883D75">
        <w:rPr>
          <w:rFonts w:cstheme="minorHAnsi"/>
        </w:rPr>
        <w:tab/>
      </w:r>
      <w:r w:rsidRPr="00883D75">
        <w:rPr>
          <w:rFonts w:cstheme="minorHAnsi"/>
        </w:rPr>
        <w:tab/>
      </w:r>
      <w:r w:rsidRPr="00883D75">
        <w:rPr>
          <w:rFonts w:cstheme="minorHAnsi"/>
        </w:rPr>
        <w:tab/>
      </w:r>
      <w:r w:rsidRPr="00883D75">
        <w:rPr>
          <w:rFonts w:cstheme="minorHAnsi"/>
        </w:rPr>
        <w:tab/>
        <w:t xml:space="preserve">R.J. Preston, </w:t>
      </w:r>
      <w:r w:rsidRPr="00883D75">
        <w:rPr>
          <w:rFonts w:cstheme="minorHAnsi"/>
          <w:i/>
        </w:rPr>
        <w:t>USA</w:t>
      </w:r>
    </w:p>
    <w:p w14:paraId="75A34E30" w14:textId="77777777" w:rsidR="002A1771" w:rsidRDefault="002A1771" w:rsidP="002A1771">
      <w:pPr>
        <w:ind w:left="5040" w:firstLine="720"/>
        <w:jc w:val="both"/>
        <w:rPr>
          <w:rFonts w:cstheme="minorHAnsi"/>
          <w:i/>
        </w:rPr>
      </w:pPr>
      <w:r w:rsidRPr="00883D75">
        <w:rPr>
          <w:rFonts w:cstheme="minorHAnsi"/>
        </w:rPr>
        <w:t xml:space="preserve">C. </w:t>
      </w:r>
      <w:proofErr w:type="spellStart"/>
      <w:r w:rsidRPr="00883D75">
        <w:rPr>
          <w:rFonts w:cstheme="minorHAnsi"/>
        </w:rPr>
        <w:t>Streffer</w:t>
      </w:r>
      <w:proofErr w:type="spellEnd"/>
      <w:r w:rsidRPr="00883D75">
        <w:rPr>
          <w:rFonts w:cstheme="minorHAnsi"/>
        </w:rPr>
        <w:t xml:space="preserve">, </w:t>
      </w:r>
      <w:r w:rsidRPr="00883D75">
        <w:rPr>
          <w:rFonts w:cstheme="minorHAnsi"/>
          <w:i/>
        </w:rPr>
        <w:t>Germany</w:t>
      </w:r>
    </w:p>
    <w:p w14:paraId="14FB89AA" w14:textId="77777777" w:rsidR="002A1771" w:rsidRPr="0071209C" w:rsidRDefault="002A1771" w:rsidP="002A1771">
      <w:pPr>
        <w:jc w:val="both"/>
        <w:rPr>
          <w:rFonts w:cstheme="minorHAnsi"/>
          <w:i/>
        </w:rPr>
      </w:pPr>
      <w:r w:rsidRPr="00883D75">
        <w:rPr>
          <w:rFonts w:cstheme="minorHAnsi"/>
        </w:rPr>
        <w:tab/>
      </w:r>
      <w:r>
        <w:rPr>
          <w:rFonts w:cstheme="minorHAnsi"/>
        </w:rPr>
        <w:tab/>
      </w:r>
      <w:r>
        <w:rPr>
          <w:rFonts w:cstheme="minorHAnsi"/>
        </w:rPr>
        <w:tab/>
      </w:r>
      <w:r>
        <w:rPr>
          <w:rFonts w:cstheme="minorHAnsi"/>
        </w:rPr>
        <w:tab/>
      </w:r>
      <w:r w:rsidRPr="00883D75">
        <w:rPr>
          <w:rFonts w:cstheme="minorHAnsi"/>
        </w:rPr>
        <w:tab/>
      </w:r>
      <w:r w:rsidRPr="00883D75">
        <w:rPr>
          <w:rFonts w:cstheme="minorHAnsi"/>
        </w:rPr>
        <w:tab/>
      </w:r>
      <w:r w:rsidRPr="00883D75">
        <w:rPr>
          <w:rFonts w:cstheme="minorHAnsi"/>
        </w:rPr>
        <w:tab/>
      </w:r>
      <w:r w:rsidRPr="00883D75">
        <w:rPr>
          <w:rFonts w:cstheme="minorHAnsi"/>
        </w:rPr>
        <w:tab/>
        <w:t xml:space="preserve">E. </w:t>
      </w:r>
      <w:proofErr w:type="spellStart"/>
      <w:r w:rsidRPr="00883D75">
        <w:rPr>
          <w:rFonts w:cstheme="minorHAnsi"/>
        </w:rPr>
        <w:t>Vañó</w:t>
      </w:r>
      <w:proofErr w:type="spellEnd"/>
      <w:r w:rsidRPr="00883D75">
        <w:rPr>
          <w:rFonts w:cstheme="minorHAnsi"/>
        </w:rPr>
        <w:t xml:space="preserve">, </w:t>
      </w:r>
      <w:r w:rsidRPr="00883D75">
        <w:rPr>
          <w:rFonts w:cstheme="minorHAnsi"/>
          <w:i/>
        </w:rPr>
        <w:t>Spain</w:t>
      </w:r>
    </w:p>
    <w:p w14:paraId="10DD0CE9" w14:textId="77777777" w:rsidR="002A1771" w:rsidRPr="00883D75" w:rsidRDefault="002A1771" w:rsidP="002A1771">
      <w:pPr>
        <w:spacing w:before="240" w:after="240"/>
        <w:jc w:val="both"/>
        <w:rPr>
          <w:rFonts w:cstheme="minorHAnsi"/>
        </w:rPr>
      </w:pPr>
      <w:r w:rsidRPr="00883D75">
        <w:rPr>
          <w:rFonts w:cstheme="minorHAnsi"/>
          <w:vertAlign w:val="superscript"/>
        </w:rPr>
        <w:t>*</w:t>
      </w:r>
      <w:r w:rsidRPr="00883D75">
        <w:rPr>
          <w:rFonts w:cstheme="minorHAnsi"/>
        </w:rPr>
        <w:t>Although formally not a Main Commission member since 1988, the Scientific Secretary is an integral part of the Main Commission.</w:t>
      </w:r>
    </w:p>
    <w:p w14:paraId="1E1312C6" w14:textId="77777777" w:rsidR="004A6135" w:rsidRPr="00AF2A12" w:rsidRDefault="004A6135" w:rsidP="0044162F">
      <w:pPr>
        <w:rPr>
          <w:i/>
          <w:color w:val="000000" w:themeColor="text1"/>
        </w:rPr>
      </w:pPr>
    </w:p>
    <w:sectPr w:rsidR="004A6135" w:rsidRPr="00AF2A12" w:rsidSect="00D43963">
      <w:pgSz w:w="11906" w:h="16838" w:code="9"/>
      <w:pgMar w:top="1440" w:right="1440" w:bottom="1440" w:left="1440" w:header="720" w:footer="720" w:gutter="0"/>
      <w:lnNumType w:countBy="1" w:restart="continuou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C6F375" w14:textId="77777777" w:rsidR="00436E62" w:rsidRDefault="00436E62">
      <w:r>
        <w:separator/>
      </w:r>
    </w:p>
  </w:endnote>
  <w:endnote w:type="continuationSeparator" w:id="0">
    <w:p w14:paraId="62F2A1AB" w14:textId="77777777" w:rsidR="00436E62" w:rsidRDefault="00436E62">
      <w:r>
        <w:continuationSeparator/>
      </w:r>
    </w:p>
  </w:endnote>
  <w:endnote w:type="continuationNotice" w:id="1">
    <w:p w14:paraId="2105CFF1" w14:textId="77777777" w:rsidR="00436E62" w:rsidRDefault="00436E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TimesTen-Roman">
    <w:altName w:val="Cambria"/>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Interstate-Black"/>
    <w:charset w:val="00"/>
    <w:family w:val="swiss"/>
    <w:pitch w:val="variable"/>
    <w:sig w:usb0="E1000AEF" w:usb1="5000A1FF" w:usb2="00000000" w:usb3="00000000" w:csb0="000001BF" w:csb1="00000000"/>
  </w:font>
  <w:font w:name="Tms Rmn">
    <w:altName w:val="Times New Roman"/>
    <w:panose1 w:val="020206030405050203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2D666" w14:textId="267B3686" w:rsidR="00D84B3E" w:rsidRDefault="00D84B3E">
    <w:pPr>
      <w:pStyle w:val="a4"/>
      <w:framePr w:wrap="none" w:vAnchor="text" w:hAnchor="margin" w:xAlign="center" w:y="1"/>
      <w:rPr>
        <w:rStyle w:val="a6"/>
      </w:rPr>
    </w:pPr>
    <w:r>
      <w:rPr>
        <w:noProof/>
        <w:lang w:val="es-AR" w:eastAsia="es-AR"/>
      </w:rPr>
      <mc:AlternateContent>
        <mc:Choice Requires="wps">
          <w:drawing>
            <wp:anchor distT="0" distB="0" distL="0" distR="0" simplePos="0" relativeHeight="251662336" behindDoc="0" locked="0" layoutInCell="1" allowOverlap="1" wp14:anchorId="5FE78AB8" wp14:editId="5225D43D">
              <wp:simplePos x="635" y="635"/>
              <wp:positionH relativeFrom="page">
                <wp:align>center</wp:align>
              </wp:positionH>
              <wp:positionV relativeFrom="page">
                <wp:align>bottom</wp:align>
              </wp:positionV>
              <wp:extent cx="443865" cy="443865"/>
              <wp:effectExtent l="0" t="0" r="16510"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F25D55" w14:textId="41F3596D"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FE78AB8" id="_x0000_t202" coordsize="21600,21600" o:spt="202" path="m,l,21600r21600,l21600,xe">
              <v:stroke joinstyle="miter"/>
              <v:path gradientshapeok="t" o:connecttype="rect"/>
            </v:shapetype>
            <v:shape id="Text Box 9" o:spid="_x0000_s1027"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F25D55" w14:textId="41F3596D"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v:textbox>
              <w10:wrap anchorx="page" anchory="page"/>
            </v:shape>
          </w:pict>
        </mc:Fallback>
      </mc:AlternateContent>
    </w:r>
    <w:r>
      <w:rPr>
        <w:rStyle w:val="a6"/>
      </w:rPr>
      <w:fldChar w:fldCharType="begin"/>
    </w:r>
    <w:r>
      <w:rPr>
        <w:rStyle w:val="a6"/>
      </w:rPr>
      <w:instrText xml:space="preserve">PAGE  </w:instrText>
    </w:r>
    <w:r>
      <w:rPr>
        <w:rStyle w:val="a6"/>
      </w:rPr>
      <w:fldChar w:fldCharType="separate"/>
    </w:r>
    <w:r>
      <w:rPr>
        <w:rStyle w:val="a6"/>
        <w:noProof/>
      </w:rPr>
      <w:t>62</w:t>
    </w:r>
    <w:r>
      <w:rPr>
        <w:rStyle w:val="a6"/>
      </w:rPr>
      <w:fldChar w:fldCharType="end"/>
    </w:r>
  </w:p>
  <w:p w14:paraId="4827CE8A" w14:textId="77777777" w:rsidR="00D84B3E" w:rsidRDefault="00D84B3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8334259"/>
      <w:docPartObj>
        <w:docPartGallery w:val="Page Numbers (Bottom of Page)"/>
        <w:docPartUnique/>
      </w:docPartObj>
    </w:sdtPr>
    <w:sdtContent>
      <w:p w14:paraId="495C9309" w14:textId="60600A2D" w:rsidR="00D84B3E" w:rsidRDefault="00D84B3E">
        <w:pPr>
          <w:pStyle w:val="a4"/>
          <w:jc w:val="center"/>
        </w:pPr>
        <w:r>
          <w:fldChar w:fldCharType="begin"/>
        </w:r>
        <w:r>
          <w:instrText>PAGE   \* MERGEFORMAT</w:instrText>
        </w:r>
        <w:r>
          <w:fldChar w:fldCharType="separate"/>
        </w:r>
        <w:r w:rsidR="00D123A6">
          <w:rPr>
            <w:noProof/>
          </w:rPr>
          <w:t>1</w:t>
        </w:r>
        <w:r>
          <w:fldChar w:fldCharType="end"/>
        </w:r>
      </w:p>
    </w:sdtContent>
  </w:sdt>
  <w:p w14:paraId="2A5CA6AD" w14:textId="397C8DF0" w:rsidR="00D84B3E" w:rsidRDefault="00D84B3E">
    <w:pPr>
      <w:pStyle w:val="a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832F" w14:textId="6BCE184B" w:rsidR="00D84B3E" w:rsidRDefault="00D84B3E">
    <w:pPr>
      <w:pStyle w:val="a4"/>
    </w:pPr>
    <w:r>
      <w:rPr>
        <w:noProof/>
        <w:lang w:val="es-AR" w:eastAsia="es-AR"/>
      </w:rPr>
      <mc:AlternateContent>
        <mc:Choice Requires="wps">
          <w:drawing>
            <wp:anchor distT="0" distB="0" distL="0" distR="0" simplePos="0" relativeHeight="251660288" behindDoc="0" locked="0" layoutInCell="1" allowOverlap="1" wp14:anchorId="5C86D84D" wp14:editId="6A950D80">
              <wp:simplePos x="635" y="635"/>
              <wp:positionH relativeFrom="page">
                <wp:align>center</wp:align>
              </wp:positionH>
              <wp:positionV relativeFrom="page">
                <wp:align>bottom</wp:align>
              </wp:positionV>
              <wp:extent cx="443865" cy="443865"/>
              <wp:effectExtent l="0" t="0" r="16510"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1D3C1" w14:textId="1B555487"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C86D84D" id="_x0000_t202" coordsize="21600,21600" o:spt="202" path="m,l,21600r21600,l21600,xe">
              <v:stroke joinstyle="miter"/>
              <v:path gradientshapeok="t" o:connecttype="rect"/>
            </v:shapetype>
            <v:shape id="Text Box 8" o:spid="_x0000_s1029"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FF1D3C1" w14:textId="1B555487"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62C06" w14:textId="31E2E9F6" w:rsidR="00D84B3E" w:rsidRDefault="00D84B3E">
    <w:pPr>
      <w:pStyle w:val="a4"/>
    </w:pPr>
    <w:r>
      <w:rPr>
        <w:noProof/>
        <w:lang w:val="es-AR" w:eastAsia="es-AR"/>
      </w:rPr>
      <mc:AlternateContent>
        <mc:Choice Requires="wps">
          <w:drawing>
            <wp:anchor distT="0" distB="0" distL="0" distR="0" simplePos="0" relativeHeight="251668480" behindDoc="0" locked="0" layoutInCell="1" allowOverlap="1" wp14:anchorId="6936535D" wp14:editId="318EB50E">
              <wp:simplePos x="635" y="635"/>
              <wp:positionH relativeFrom="page">
                <wp:align>center</wp:align>
              </wp:positionH>
              <wp:positionV relativeFrom="page">
                <wp:align>bottom</wp:align>
              </wp:positionV>
              <wp:extent cx="443865" cy="443865"/>
              <wp:effectExtent l="0" t="0" r="16510" b="0"/>
              <wp:wrapNone/>
              <wp:docPr id="14"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C878B5" w14:textId="6FCBA36C"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936535D" id="_x0000_t202" coordsize="21600,21600" o:spt="202" path="m,l,21600r21600,l21600,xe">
              <v:stroke joinstyle="miter"/>
              <v:path gradientshapeok="t" o:connecttype="rect"/>
            </v:shapetype>
            <v:shape id="Text Box 14" o:spid="_x0000_s1031" type="#_x0000_t202" alt="OFFICIAL" style="position:absolute;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52C878B5" w14:textId="6FCBA36C"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7067606"/>
      <w:docPartObj>
        <w:docPartGallery w:val="Page Numbers (Bottom of Page)"/>
        <w:docPartUnique/>
      </w:docPartObj>
    </w:sdtPr>
    <w:sdtContent>
      <w:p w14:paraId="059A4352" w14:textId="3744C4FC" w:rsidR="00D84B3E" w:rsidRDefault="00D84B3E">
        <w:pPr>
          <w:pStyle w:val="a4"/>
          <w:jc w:val="center"/>
        </w:pPr>
        <w:r>
          <w:fldChar w:fldCharType="begin"/>
        </w:r>
        <w:r>
          <w:instrText>PAGE   \* MERGEFORMAT</w:instrText>
        </w:r>
        <w:r>
          <w:fldChar w:fldCharType="separate"/>
        </w:r>
        <w:r w:rsidR="00151638">
          <w:rPr>
            <w:noProof/>
          </w:rPr>
          <w:t>4</w:t>
        </w:r>
        <w:r>
          <w:fldChar w:fldCharType="end"/>
        </w:r>
      </w:p>
    </w:sdtContent>
  </w:sdt>
  <w:p w14:paraId="74ABCDF0" w14:textId="77777777" w:rsidR="00D84B3E" w:rsidRDefault="00D84B3E">
    <w:pPr>
      <w:pStyle w:val="a4"/>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E9AF3" w14:textId="6036F5D0" w:rsidR="00D84B3E" w:rsidRDefault="00D84B3E">
    <w:pPr>
      <w:pStyle w:val="a4"/>
    </w:pPr>
    <w:r>
      <w:rPr>
        <w:noProof/>
        <w:lang w:val="es-AR" w:eastAsia="es-AR"/>
      </w:rPr>
      <mc:AlternateContent>
        <mc:Choice Requires="wps">
          <w:drawing>
            <wp:anchor distT="0" distB="0" distL="0" distR="0" simplePos="0" relativeHeight="251666432" behindDoc="0" locked="0" layoutInCell="1" allowOverlap="1" wp14:anchorId="3781068D" wp14:editId="0956584B">
              <wp:simplePos x="635" y="635"/>
              <wp:positionH relativeFrom="page">
                <wp:align>center</wp:align>
              </wp:positionH>
              <wp:positionV relativeFrom="page">
                <wp:align>bottom</wp:align>
              </wp:positionV>
              <wp:extent cx="443865" cy="443865"/>
              <wp:effectExtent l="0" t="0" r="1651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07417" w14:textId="0FE28866"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81068D" id="_x0000_t202" coordsize="21600,21600" o:spt="202" path="m,l,21600r21600,l21600,xe">
              <v:stroke joinstyle="miter"/>
              <v:path gradientshapeok="t" o:connecttype="rect"/>
            </v:shapetype>
            <v:shape id="Text Box 13" o:spid="_x0000_s1033" type="#_x0000_t202" alt="OFFICIAL" style="position:absolute;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5A307417" w14:textId="0FE28866"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09EF5E" w14:textId="77777777" w:rsidR="00436E62" w:rsidRDefault="00436E62">
      <w:r>
        <w:separator/>
      </w:r>
    </w:p>
  </w:footnote>
  <w:footnote w:type="continuationSeparator" w:id="0">
    <w:p w14:paraId="5D5EA271" w14:textId="77777777" w:rsidR="00436E62" w:rsidRDefault="00436E62">
      <w:r>
        <w:continuationSeparator/>
      </w:r>
    </w:p>
  </w:footnote>
  <w:footnote w:type="continuationNotice" w:id="1">
    <w:p w14:paraId="6C1C108C" w14:textId="77777777" w:rsidR="00436E62" w:rsidRDefault="00436E62"/>
  </w:footnote>
  <w:footnote w:id="2">
    <w:p w14:paraId="3F049998" w14:textId="091A15E5" w:rsidR="00D84B3E" w:rsidRPr="005922B8" w:rsidRDefault="00D84B3E" w:rsidP="005922B8">
      <w:pPr>
        <w:pStyle w:val="a8"/>
        <w:jc w:val="both"/>
        <w:rPr>
          <w:lang w:val="es-AR"/>
        </w:rPr>
      </w:pPr>
      <w:r>
        <w:rPr>
          <w:rStyle w:val="a7"/>
        </w:rPr>
        <w:footnoteRef/>
      </w:r>
      <w:r>
        <w:t xml:space="preserve"> </w:t>
      </w:r>
      <w:r w:rsidRPr="00667C97">
        <w:rPr>
          <w:sz w:val="20"/>
          <w:szCs w:val="20"/>
        </w:rPr>
        <w:t xml:space="preserve">The referenced case studies were prior to </w:t>
      </w:r>
      <w:r w:rsidRPr="00667C97">
        <w:rPr>
          <w:i/>
          <w:iCs/>
          <w:sz w:val="20"/>
          <w:szCs w:val="20"/>
        </w:rPr>
        <w:t>Publication 103</w:t>
      </w:r>
      <w:r w:rsidRPr="00667C97">
        <w:rPr>
          <w:sz w:val="20"/>
          <w:szCs w:val="20"/>
        </w:rPr>
        <w:t>, so the concept of reference level was not applied.</w:t>
      </w:r>
    </w:p>
  </w:footnote>
  <w:footnote w:id="3">
    <w:p w14:paraId="224130D5" w14:textId="445EE40F" w:rsidR="00D84B3E" w:rsidRDefault="00D84B3E" w:rsidP="003E1DA6">
      <w:pPr>
        <w:pStyle w:val="a8"/>
        <w:jc w:val="both"/>
      </w:pPr>
      <w:r>
        <w:rPr>
          <w:rStyle w:val="a7"/>
        </w:rPr>
        <w:footnoteRef/>
      </w:r>
      <w:r>
        <w:t xml:space="preserve"> </w:t>
      </w:r>
      <w:r w:rsidRPr="00667C97">
        <w:rPr>
          <w:sz w:val="20"/>
          <w:szCs w:val="20"/>
        </w:rPr>
        <w:t>Action level: a measurable quantity (e.g. dose rate or activity concentration) above which remedial actions or protective actions should be carried out in existing exposure or emergency exposure situations. (http://icrpaedia.org/ICRP_Glossary).</w:t>
      </w:r>
    </w:p>
    <w:p w14:paraId="0A4B55A1" w14:textId="0D1D89BE" w:rsidR="00D84B3E" w:rsidRPr="003E1DA6" w:rsidRDefault="00D84B3E" w:rsidP="003E1DA6">
      <w:pPr>
        <w:pStyle w:val="a8"/>
        <w:jc w:val="both"/>
        <w:rPr>
          <w:lang w:val="es-MX"/>
        </w:rPr>
      </w:pPr>
    </w:p>
  </w:footnote>
  <w:footnote w:id="4">
    <w:p w14:paraId="49D5286C" w14:textId="48C6AC8F" w:rsidR="00D84B3E" w:rsidRPr="00667C97" w:rsidRDefault="00D84B3E" w:rsidP="004D6399">
      <w:pPr>
        <w:pStyle w:val="a8"/>
        <w:jc w:val="both"/>
        <w:rPr>
          <w:sz w:val="20"/>
          <w:szCs w:val="20"/>
          <w:lang w:val="es-MX"/>
        </w:rPr>
      </w:pPr>
      <w:r>
        <w:rPr>
          <w:rStyle w:val="a7"/>
        </w:rPr>
        <w:footnoteRef/>
      </w:r>
      <w:r>
        <w:t xml:space="preserve"> </w:t>
      </w:r>
      <w:r w:rsidRPr="00667C97">
        <w:rPr>
          <w:sz w:val="20"/>
          <w:szCs w:val="20"/>
        </w:rPr>
        <w:t xml:space="preserve">Low dose: a qualitative term to mean relatively low level of dose, typically refers to doses lower than 100 mSv (or 100 mGy for low </w:t>
      </w:r>
      <w:r w:rsidRPr="00A236CB">
        <w:rPr>
          <w:sz w:val="20"/>
          <w:szCs w:val="20"/>
        </w:rPr>
        <w:t>linear energy transfer</w:t>
      </w:r>
      <w:r w:rsidRPr="00667C97">
        <w:rPr>
          <w:sz w:val="20"/>
          <w:szCs w:val="20"/>
        </w:rPr>
        <w:t xml:space="preserve"> radiation) based on knowledge of radiation effects (UNSCEAR</w:t>
      </w:r>
      <w:r>
        <w:rPr>
          <w:sz w:val="20"/>
          <w:szCs w:val="20"/>
        </w:rPr>
        <w:t>,</w:t>
      </w:r>
      <w:r w:rsidRPr="00667C97">
        <w:rPr>
          <w:sz w:val="20"/>
          <w:szCs w:val="20"/>
        </w:rPr>
        <w:t xml:space="preserve"> 2012)</w:t>
      </w:r>
      <w:r>
        <w:rPr>
          <w:sz w:val="20"/>
          <w:szCs w:val="20"/>
        </w:rPr>
        <w:t>.</w:t>
      </w:r>
    </w:p>
  </w:footnote>
  <w:footnote w:id="5">
    <w:p w14:paraId="02624ABA" w14:textId="6B7EDB5D" w:rsidR="00D84B3E" w:rsidRPr="00667C97" w:rsidRDefault="00D84B3E" w:rsidP="00B4662A">
      <w:pPr>
        <w:pStyle w:val="a8"/>
        <w:rPr>
          <w:sz w:val="20"/>
          <w:szCs w:val="20"/>
          <w:lang w:val="es-MX"/>
        </w:rPr>
      </w:pPr>
      <w:r w:rsidRPr="00667C97">
        <w:rPr>
          <w:rStyle w:val="a7"/>
          <w:sz w:val="20"/>
          <w:szCs w:val="20"/>
        </w:rPr>
        <w:footnoteRef/>
      </w:r>
      <w:r w:rsidRPr="00667C97">
        <w:rPr>
          <w:sz w:val="20"/>
          <w:szCs w:val="20"/>
        </w:rPr>
        <w:t xml:space="preserve"> </w:t>
      </w:r>
      <w:r w:rsidRPr="00667C97">
        <w:rPr>
          <w:sz w:val="20"/>
          <w:szCs w:val="20"/>
          <w:lang w:val="es-MX"/>
        </w:rPr>
        <w:t>Well-being:</w:t>
      </w:r>
      <w:r w:rsidRPr="00667C97">
        <w:rPr>
          <w:sz w:val="20"/>
          <w:szCs w:val="20"/>
        </w:rPr>
        <w:t xml:space="preserve"> Is</w:t>
      </w:r>
      <w:r w:rsidRPr="00667C97">
        <w:rPr>
          <w:sz w:val="20"/>
          <w:szCs w:val="20"/>
          <w:lang w:val="es-MX"/>
        </w:rPr>
        <w:t xml:space="preserve"> a positive state experienced by individuals and societies. Similar to health, it is a resource for daily life and is determined by social, economic and environmental conditions (WHO, 2021)</w:t>
      </w:r>
      <w:r>
        <w:rPr>
          <w:sz w:val="20"/>
          <w:szCs w:val="20"/>
          <w:lang w:val="es-MX"/>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C9D0EB" w14:textId="62ED3D5E" w:rsidR="00D84B3E" w:rsidRDefault="00D84B3E">
    <w:pPr>
      <w:pStyle w:val="ac"/>
    </w:pPr>
    <w:r>
      <w:rPr>
        <w:noProof/>
        <w:lang w:val="es-AR" w:eastAsia="es-AR"/>
      </w:rPr>
      <mc:AlternateContent>
        <mc:Choice Requires="wps">
          <w:drawing>
            <wp:anchor distT="0" distB="0" distL="0" distR="0" simplePos="0" relativeHeight="251650048" behindDoc="0" locked="0" layoutInCell="1" allowOverlap="1" wp14:anchorId="425837B5" wp14:editId="087F11E9">
              <wp:simplePos x="635" y="635"/>
              <wp:positionH relativeFrom="page">
                <wp:align>center</wp:align>
              </wp:positionH>
              <wp:positionV relativeFrom="page">
                <wp:align>top</wp:align>
              </wp:positionV>
              <wp:extent cx="443865" cy="443865"/>
              <wp:effectExtent l="0" t="0" r="16510" b="1651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22AD3AD" w14:textId="30076D8A"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25837B5"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004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22AD3AD" w14:textId="30076D8A"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A9BD5" w14:textId="4003D51A" w:rsidR="00D84B3E" w:rsidRDefault="00D84B3E">
    <w:pPr>
      <w:pStyle w:val="ac"/>
      <w:rPr>
        <w:lang w:val="en-US"/>
      </w:rPr>
    </w:pPr>
    <w:r>
      <w:rPr>
        <w:noProof/>
        <w:lang w:val="es-AR" w:eastAsia="es-AR"/>
      </w:rPr>
      <w:drawing>
        <wp:inline distT="0" distB="0" distL="0" distR="0" wp14:anchorId="1E82C03B" wp14:editId="170DF77E">
          <wp:extent cx="1390015" cy="487680"/>
          <wp:effectExtent l="0" t="0" r="635" b="7620"/>
          <wp:docPr id="212478805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487680"/>
                  </a:xfrm>
                  <a:prstGeom prst="rect">
                    <a:avLst/>
                  </a:prstGeom>
                  <a:noFill/>
                  <a:ln>
                    <a:noFill/>
                  </a:ln>
                </pic:spPr>
              </pic:pic>
            </a:graphicData>
          </a:graphic>
        </wp:inline>
      </w:drawing>
    </w:r>
    <w:r>
      <w:rPr>
        <w:rFonts w:ascii="Arial" w:eastAsia="Times New Roman" w:hAnsi="Arial" w:cs="Arial"/>
        <w:b/>
        <w:color w:val="005DAA"/>
        <w:sz w:val="20"/>
        <w:lang w:val="en-US"/>
      </w:rPr>
      <w:t xml:space="preserve"> </w:t>
    </w:r>
    <w:r w:rsidRPr="009E4000">
      <w:rPr>
        <w:rFonts w:ascii="Arial" w:eastAsia="Times New Roman" w:hAnsi="Arial" w:cs="Arial"/>
        <w:b/>
        <w:color w:val="005DAA"/>
        <w:sz w:val="20"/>
        <w:lang w:val="en-US"/>
      </w:rPr>
      <w:t xml:space="preserve">DRAFT REPORT FOR </w:t>
    </w:r>
    <w:r w:rsidR="00D80A0C">
      <w:rPr>
        <w:rFonts w:ascii="Arial" w:hAnsi="Arial" w:cs="Arial" w:hint="eastAsia"/>
        <w:b/>
        <w:color w:val="005DAA"/>
        <w:sz w:val="20"/>
      </w:rPr>
      <w:t>CONSULTATION: DO NOT REFERENCE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D2E93" w14:textId="46AF9352" w:rsidR="00D84B3E" w:rsidRDefault="00D84B3E">
    <w:pPr>
      <w:pStyle w:val="ac"/>
    </w:pPr>
    <w:r>
      <w:rPr>
        <w:noProof/>
        <w:lang w:val="es-AR" w:eastAsia="es-AR"/>
      </w:rPr>
      <mc:AlternateContent>
        <mc:Choice Requires="wps">
          <w:drawing>
            <wp:anchor distT="0" distB="0" distL="0" distR="0" simplePos="0" relativeHeight="251648000" behindDoc="0" locked="0" layoutInCell="1" allowOverlap="1" wp14:anchorId="58B37E1D" wp14:editId="25E2C982">
              <wp:simplePos x="635" y="635"/>
              <wp:positionH relativeFrom="page">
                <wp:align>center</wp:align>
              </wp:positionH>
              <wp:positionV relativeFrom="page">
                <wp:align>top</wp:align>
              </wp:positionV>
              <wp:extent cx="443865" cy="443865"/>
              <wp:effectExtent l="0" t="0" r="16510" b="1651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DE76707" w14:textId="31688442"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B37E1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4800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7DE76707" w14:textId="31688442"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CDE46" w14:textId="78237C64" w:rsidR="00D84B3E" w:rsidRDefault="00D84B3E">
    <w:pPr>
      <w:pStyle w:val="ac"/>
    </w:pPr>
    <w:r>
      <w:rPr>
        <w:noProof/>
        <w:lang w:val="es-AR" w:eastAsia="es-AR"/>
      </w:rPr>
      <mc:AlternateContent>
        <mc:Choice Requires="wps">
          <w:drawing>
            <wp:anchor distT="0" distB="0" distL="0" distR="0" simplePos="0" relativeHeight="251656192" behindDoc="0" locked="0" layoutInCell="1" allowOverlap="1" wp14:anchorId="04680B3B" wp14:editId="5B3C3350">
              <wp:simplePos x="635" y="635"/>
              <wp:positionH relativeFrom="page">
                <wp:align>center</wp:align>
              </wp:positionH>
              <wp:positionV relativeFrom="page">
                <wp:align>top</wp:align>
              </wp:positionV>
              <wp:extent cx="443865" cy="443865"/>
              <wp:effectExtent l="0" t="0" r="16510" b="16510"/>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F95771" w14:textId="1B9C9738"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4680B3B" id="_x0000_t202" coordsize="21600,21600" o:spt="202" path="m,l,21600r21600,l21600,xe">
              <v:stroke joinstyle="miter"/>
              <v:path gradientshapeok="t" o:connecttype="rect"/>
            </v:shapetype>
            <v:shape id="Text Box 6" o:spid="_x0000_s1030" type="#_x0000_t202" alt="OFFICIAL" style="position:absolute;margin-left:0;margin-top:0;width:34.95pt;height:34.9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FF95771" w14:textId="1B9C9738"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D2573" w14:textId="28E5BBB1" w:rsidR="00D84B3E" w:rsidRDefault="00D84B3E">
    <w:pPr>
      <w:pStyle w:val="ac"/>
      <w:rPr>
        <w:lang w:val="en-US"/>
      </w:rPr>
    </w:pPr>
    <w:r>
      <w:rPr>
        <w:noProof/>
        <w:lang w:val="es-AR" w:eastAsia="es-AR"/>
      </w:rPr>
      <w:drawing>
        <wp:inline distT="0" distB="0" distL="0" distR="0" wp14:anchorId="6299AAC9" wp14:editId="2AC2ADBB">
          <wp:extent cx="1390015" cy="487680"/>
          <wp:effectExtent l="0" t="0" r="635" b="7620"/>
          <wp:docPr id="175423335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015" cy="487680"/>
                  </a:xfrm>
                  <a:prstGeom prst="rect">
                    <a:avLst/>
                  </a:prstGeom>
                  <a:noFill/>
                  <a:ln>
                    <a:noFill/>
                  </a:ln>
                </pic:spPr>
              </pic:pic>
            </a:graphicData>
          </a:graphic>
        </wp:inline>
      </w:drawing>
    </w:r>
    <w:r>
      <w:rPr>
        <w:rFonts w:ascii="Arial" w:eastAsia="Times New Roman" w:hAnsi="Arial" w:cs="Arial"/>
        <w:b/>
        <w:color w:val="005DAA"/>
        <w:sz w:val="20"/>
        <w:lang w:val="en-US"/>
      </w:rPr>
      <w:t xml:space="preserve"> </w:t>
    </w:r>
    <w:r w:rsidRPr="009E4000">
      <w:rPr>
        <w:rFonts w:ascii="Arial" w:eastAsia="Times New Roman" w:hAnsi="Arial" w:cs="Arial"/>
        <w:b/>
        <w:color w:val="005DAA"/>
        <w:sz w:val="20"/>
        <w:lang w:val="en-US"/>
      </w:rPr>
      <w:t xml:space="preserve">DRAFT REPORT FOR </w:t>
    </w:r>
    <w:r w:rsidR="00627E26">
      <w:rPr>
        <w:rFonts w:ascii="Arial" w:hAnsi="Arial" w:cs="Arial" w:hint="eastAsia"/>
        <w:b/>
        <w:color w:val="005DAA"/>
        <w:sz w:val="20"/>
      </w:rPr>
      <w:t>CONSULTATION: DO NOT REFERENCE</w:t>
    </w:r>
  </w:p>
  <w:p w14:paraId="6C82A4A9" w14:textId="77777777" w:rsidR="00D84B3E" w:rsidRPr="00B64C53" w:rsidRDefault="00D84B3E">
    <w:pPr>
      <w:pStyle w:val="ac"/>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42502" w14:textId="3B90BC97" w:rsidR="00D84B3E" w:rsidRDefault="00D84B3E">
    <w:pPr>
      <w:pStyle w:val="ac"/>
    </w:pPr>
    <w:r>
      <w:rPr>
        <w:noProof/>
        <w:lang w:val="es-AR" w:eastAsia="es-AR"/>
      </w:rPr>
      <mc:AlternateContent>
        <mc:Choice Requires="wps">
          <w:drawing>
            <wp:anchor distT="0" distB="0" distL="0" distR="0" simplePos="0" relativeHeight="251654144" behindDoc="0" locked="0" layoutInCell="1" allowOverlap="1" wp14:anchorId="3A9FC8F1" wp14:editId="64E65D13">
              <wp:simplePos x="635" y="635"/>
              <wp:positionH relativeFrom="page">
                <wp:align>center</wp:align>
              </wp:positionH>
              <wp:positionV relativeFrom="page">
                <wp:align>top</wp:align>
              </wp:positionV>
              <wp:extent cx="443865" cy="443865"/>
              <wp:effectExtent l="0" t="0" r="16510" b="16510"/>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2E9329" w14:textId="6BD0613C"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A9FC8F1"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541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textbox style="mso-fit-shape-to-text:t" inset="0,15pt,0,0">
                <w:txbxContent>
                  <w:p w14:paraId="4E2E9329" w14:textId="6BD0613C" w:rsidR="00D84B3E" w:rsidRPr="00BB1CC4" w:rsidRDefault="00D84B3E" w:rsidP="00BB1CC4">
                    <w:pPr>
                      <w:rPr>
                        <w:rFonts w:ascii="Calibri" w:eastAsia="Calibri" w:hAnsi="Calibri" w:cs="Calibri"/>
                        <w:noProof/>
                        <w:color w:val="0000FF"/>
                        <w:sz w:val="20"/>
                        <w:szCs w:val="20"/>
                      </w:rPr>
                    </w:pPr>
                    <w:r w:rsidRPr="00BB1CC4">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9762C"/>
    <w:multiLevelType w:val="multilevel"/>
    <w:tmpl w:val="9F04C370"/>
    <w:lvl w:ilvl="0">
      <w:start w:val="1"/>
      <w:numFmt w:val="upperLetter"/>
      <w:lvlText w:val="%1."/>
      <w:lvlJc w:val="left"/>
      <w:pPr>
        <w:ind w:left="360" w:hanging="360"/>
      </w:pPr>
      <w:rPr>
        <w:rFonts w:eastAsia="Times New Roman" w:hint="default"/>
        <w:b w:val="0"/>
        <w:i/>
      </w:rPr>
    </w:lvl>
    <w:lvl w:ilvl="1">
      <w:start w:val="1"/>
      <w:numFmt w:val="decimal"/>
      <w:lvlText w:val="%1.%2."/>
      <w:lvlJc w:val="left"/>
      <w:pPr>
        <w:ind w:left="360" w:hanging="360"/>
      </w:pPr>
      <w:rPr>
        <w:rFonts w:eastAsia="Times New Roman" w:hint="default"/>
        <w:b w:val="0"/>
        <w:i/>
      </w:rPr>
    </w:lvl>
    <w:lvl w:ilvl="2">
      <w:start w:val="4"/>
      <w:numFmt w:val="decimal"/>
      <w:lvlText w:val="%1.%2.%3."/>
      <w:lvlJc w:val="left"/>
      <w:pPr>
        <w:ind w:left="720" w:hanging="720"/>
      </w:pPr>
      <w:rPr>
        <w:rFonts w:eastAsia="Times New Roman" w:hint="default"/>
        <w:b w:val="0"/>
        <w:i/>
      </w:rPr>
    </w:lvl>
    <w:lvl w:ilvl="3">
      <w:start w:val="1"/>
      <w:numFmt w:val="decimal"/>
      <w:lvlText w:val="%1.%2.%3.%4."/>
      <w:lvlJc w:val="left"/>
      <w:pPr>
        <w:ind w:left="720" w:hanging="720"/>
      </w:pPr>
      <w:rPr>
        <w:rFonts w:eastAsia="Times New Roman" w:hint="default"/>
        <w:b w:val="0"/>
        <w:i/>
      </w:rPr>
    </w:lvl>
    <w:lvl w:ilvl="4">
      <w:start w:val="1"/>
      <w:numFmt w:val="decimal"/>
      <w:lvlText w:val="%1.%2.%3.%4.%5."/>
      <w:lvlJc w:val="left"/>
      <w:pPr>
        <w:ind w:left="1080" w:hanging="1080"/>
      </w:pPr>
      <w:rPr>
        <w:rFonts w:eastAsia="Times New Roman" w:hint="default"/>
        <w:b w:val="0"/>
        <w:i/>
      </w:rPr>
    </w:lvl>
    <w:lvl w:ilvl="5">
      <w:start w:val="1"/>
      <w:numFmt w:val="decimal"/>
      <w:lvlText w:val="%1.%2.%3.%4.%5.%6."/>
      <w:lvlJc w:val="left"/>
      <w:pPr>
        <w:ind w:left="1080" w:hanging="1080"/>
      </w:pPr>
      <w:rPr>
        <w:rFonts w:eastAsia="Times New Roman" w:hint="default"/>
        <w:b w:val="0"/>
        <w:i/>
      </w:rPr>
    </w:lvl>
    <w:lvl w:ilvl="6">
      <w:start w:val="1"/>
      <w:numFmt w:val="decimal"/>
      <w:lvlText w:val="%1.%2.%3.%4.%5.%6.%7."/>
      <w:lvlJc w:val="left"/>
      <w:pPr>
        <w:ind w:left="1440" w:hanging="1440"/>
      </w:pPr>
      <w:rPr>
        <w:rFonts w:eastAsia="Times New Roman" w:hint="default"/>
        <w:b w:val="0"/>
        <w:i/>
      </w:rPr>
    </w:lvl>
    <w:lvl w:ilvl="7">
      <w:start w:val="1"/>
      <w:numFmt w:val="decimal"/>
      <w:lvlText w:val="%1.%2.%3.%4.%5.%6.%7.%8."/>
      <w:lvlJc w:val="left"/>
      <w:pPr>
        <w:ind w:left="1440" w:hanging="1440"/>
      </w:pPr>
      <w:rPr>
        <w:rFonts w:eastAsia="Times New Roman" w:hint="default"/>
        <w:b w:val="0"/>
        <w:i/>
      </w:rPr>
    </w:lvl>
    <w:lvl w:ilvl="8">
      <w:start w:val="1"/>
      <w:numFmt w:val="decimal"/>
      <w:lvlText w:val="%1.%2.%3.%4.%5.%6.%7.%8.%9."/>
      <w:lvlJc w:val="left"/>
      <w:pPr>
        <w:ind w:left="1800" w:hanging="1800"/>
      </w:pPr>
      <w:rPr>
        <w:rFonts w:eastAsia="Times New Roman" w:hint="default"/>
        <w:b w:val="0"/>
        <w:i/>
      </w:rPr>
    </w:lvl>
  </w:abstractNum>
  <w:abstractNum w:abstractNumId="1" w15:restartNumberingAfterBreak="0">
    <w:nsid w:val="06951F33"/>
    <w:multiLevelType w:val="hybridMultilevel"/>
    <w:tmpl w:val="B72C826E"/>
    <w:lvl w:ilvl="0" w:tplc="8FF412BA">
      <w:start w:val="1"/>
      <w:numFmt w:val="bullet"/>
      <w:lvlText w:val="-"/>
      <w:lvlJc w:val="left"/>
      <w:pPr>
        <w:ind w:left="720" w:hanging="360"/>
      </w:pPr>
      <w:rPr>
        <w:rFonts w:ascii="Times New Roman" w:eastAsia="ＭＳ 明朝"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B1DAF"/>
    <w:multiLevelType w:val="hybridMultilevel"/>
    <w:tmpl w:val="1FA43354"/>
    <w:lvl w:ilvl="0" w:tplc="7DAC8C3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A7A1E"/>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abstractNum w:abstractNumId="4" w15:restartNumberingAfterBreak="0">
    <w:nsid w:val="0A5D3F5A"/>
    <w:multiLevelType w:val="hybridMultilevel"/>
    <w:tmpl w:val="2148131E"/>
    <w:lvl w:ilvl="0" w:tplc="2B5006F4">
      <w:start w:val="2"/>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E41A6D"/>
    <w:multiLevelType w:val="hybridMultilevel"/>
    <w:tmpl w:val="E674A4AA"/>
    <w:lvl w:ilvl="0" w:tplc="1902B7D0">
      <w:start w:val="1"/>
      <w:numFmt w:val="bullet"/>
      <w:lvlText w:val=""/>
      <w:lvlJc w:val="left"/>
      <w:pPr>
        <w:ind w:left="851" w:hanging="284"/>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0E4E6F46"/>
    <w:multiLevelType w:val="hybridMultilevel"/>
    <w:tmpl w:val="60AC0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9A2AC2"/>
    <w:multiLevelType w:val="hybridMultilevel"/>
    <w:tmpl w:val="F2F2E82C"/>
    <w:lvl w:ilvl="0" w:tplc="967CBCF6">
      <w:start w:val="1"/>
      <w:numFmt w:val="bullet"/>
      <w:lvlText w:val=""/>
      <w:lvlJc w:val="left"/>
      <w:pPr>
        <w:ind w:left="1298" w:hanging="360"/>
      </w:pPr>
      <w:rPr>
        <w:rFonts w:ascii="Symbol" w:hAnsi="Symbol" w:hint="default"/>
        <w:color w:val="auto"/>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8" w15:restartNumberingAfterBreak="0">
    <w:nsid w:val="1A752DF0"/>
    <w:multiLevelType w:val="multilevel"/>
    <w:tmpl w:val="093C86F4"/>
    <w:lvl w:ilvl="0">
      <w:start w:val="1"/>
      <w:numFmt w:val="upperLetter"/>
      <w:lvlText w:val="%1."/>
      <w:lvlJc w:val="left"/>
      <w:pPr>
        <w:ind w:left="360" w:hanging="360"/>
      </w:pPr>
      <w:rPr>
        <w:rFonts w:eastAsia="Times New Roman" w:hint="default"/>
        <w:b w:val="0"/>
        <w:i/>
      </w:rPr>
    </w:lvl>
    <w:lvl w:ilvl="1">
      <w:start w:val="1"/>
      <w:numFmt w:val="decimal"/>
      <w:lvlText w:val="%1.%2."/>
      <w:lvlJc w:val="left"/>
      <w:pPr>
        <w:ind w:left="360" w:hanging="360"/>
      </w:pPr>
      <w:rPr>
        <w:rFonts w:eastAsia="Times New Roman" w:hint="default"/>
        <w:b w:val="0"/>
        <w:i/>
      </w:rPr>
    </w:lvl>
    <w:lvl w:ilvl="2">
      <w:start w:val="4"/>
      <w:numFmt w:val="decimal"/>
      <w:lvlText w:val="%1.%2.%3."/>
      <w:lvlJc w:val="left"/>
      <w:pPr>
        <w:ind w:left="720" w:hanging="720"/>
      </w:pPr>
      <w:rPr>
        <w:rFonts w:eastAsia="Times New Roman" w:hint="default"/>
        <w:b w:val="0"/>
        <w:i/>
      </w:rPr>
    </w:lvl>
    <w:lvl w:ilvl="3">
      <w:start w:val="1"/>
      <w:numFmt w:val="decimal"/>
      <w:lvlText w:val="%1.%2.%3.%4."/>
      <w:lvlJc w:val="left"/>
      <w:pPr>
        <w:ind w:left="720" w:hanging="720"/>
      </w:pPr>
      <w:rPr>
        <w:rFonts w:eastAsia="Times New Roman" w:hint="default"/>
        <w:b w:val="0"/>
        <w:i/>
      </w:rPr>
    </w:lvl>
    <w:lvl w:ilvl="4">
      <w:start w:val="1"/>
      <w:numFmt w:val="decimal"/>
      <w:lvlText w:val="%1.%2.%3.%4.%5."/>
      <w:lvlJc w:val="left"/>
      <w:pPr>
        <w:ind w:left="1080" w:hanging="1080"/>
      </w:pPr>
      <w:rPr>
        <w:rFonts w:eastAsia="Times New Roman" w:hint="default"/>
        <w:b w:val="0"/>
        <w:i/>
      </w:rPr>
    </w:lvl>
    <w:lvl w:ilvl="5">
      <w:start w:val="1"/>
      <w:numFmt w:val="decimal"/>
      <w:lvlText w:val="%1.%2.%3.%4.%5.%6."/>
      <w:lvlJc w:val="left"/>
      <w:pPr>
        <w:ind w:left="1080" w:hanging="1080"/>
      </w:pPr>
      <w:rPr>
        <w:rFonts w:eastAsia="Times New Roman" w:hint="default"/>
        <w:b w:val="0"/>
        <w:i/>
      </w:rPr>
    </w:lvl>
    <w:lvl w:ilvl="6">
      <w:start w:val="1"/>
      <w:numFmt w:val="decimal"/>
      <w:lvlText w:val="%1.%2.%3.%4.%5.%6.%7."/>
      <w:lvlJc w:val="left"/>
      <w:pPr>
        <w:ind w:left="1440" w:hanging="1440"/>
      </w:pPr>
      <w:rPr>
        <w:rFonts w:eastAsia="Times New Roman" w:hint="default"/>
        <w:b w:val="0"/>
        <w:i/>
      </w:rPr>
    </w:lvl>
    <w:lvl w:ilvl="7">
      <w:start w:val="1"/>
      <w:numFmt w:val="decimal"/>
      <w:lvlText w:val="%1.%2.%3.%4.%5.%6.%7.%8."/>
      <w:lvlJc w:val="left"/>
      <w:pPr>
        <w:ind w:left="1440" w:hanging="1440"/>
      </w:pPr>
      <w:rPr>
        <w:rFonts w:eastAsia="Times New Roman" w:hint="default"/>
        <w:b w:val="0"/>
        <w:i/>
      </w:rPr>
    </w:lvl>
    <w:lvl w:ilvl="8">
      <w:start w:val="1"/>
      <w:numFmt w:val="decimal"/>
      <w:lvlText w:val="%1.%2.%3.%4.%5.%6.%7.%8.%9."/>
      <w:lvlJc w:val="left"/>
      <w:pPr>
        <w:ind w:left="1800" w:hanging="1800"/>
      </w:pPr>
      <w:rPr>
        <w:rFonts w:eastAsia="Times New Roman" w:hint="default"/>
        <w:b w:val="0"/>
        <w:i/>
      </w:rPr>
    </w:lvl>
  </w:abstractNum>
  <w:abstractNum w:abstractNumId="9" w15:restartNumberingAfterBreak="0">
    <w:nsid w:val="20FE5E64"/>
    <w:multiLevelType w:val="hybridMultilevel"/>
    <w:tmpl w:val="8AF6650E"/>
    <w:lvl w:ilvl="0" w:tplc="2EB0626E">
      <w:start w:val="1"/>
      <w:numFmt w:val="decimal"/>
      <w:lvlText w:val="(%1)"/>
      <w:lvlJc w:val="left"/>
      <w:pPr>
        <w:ind w:left="538" w:hanging="396"/>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21835F2A"/>
    <w:multiLevelType w:val="multilevel"/>
    <w:tmpl w:val="352C228A"/>
    <w:lvl w:ilvl="0">
      <w:start w:val="1"/>
      <w:numFmt w:val="upperLetter"/>
      <w:pStyle w:val="ICRPannexheading1"/>
      <w:lvlText w:val="ANNEX %1."/>
      <w:lvlJc w:val="left"/>
      <w:pPr>
        <w:ind w:left="0" w:firstLine="0"/>
      </w:pPr>
      <w:rPr>
        <w:rFonts w:ascii="Times New Roman" w:hAnsi="Times New Roman" w:hint="default"/>
        <w:b/>
        <w:i w:val="0"/>
        <w:caps/>
        <w:strike w:val="0"/>
        <w:dstrike w:val="0"/>
        <w:vanish w:val="0"/>
        <w:color w:val="000000"/>
        <w:sz w:val="28"/>
        <w:vertAlign w:val="baseline"/>
      </w:rPr>
    </w:lvl>
    <w:lvl w:ilvl="1">
      <w:start w:val="1"/>
      <w:numFmt w:val="decimal"/>
      <w:pStyle w:val="ICRPannexheading2"/>
      <w:lvlText w:val="%1.%2."/>
      <w:lvlJc w:val="left"/>
      <w:pPr>
        <w:ind w:left="860" w:hanging="576"/>
      </w:pPr>
    </w:lvl>
    <w:lvl w:ilvl="2">
      <w:start w:val="1"/>
      <w:numFmt w:val="decimal"/>
      <w:pStyle w:val="ICRPannexheading3"/>
      <w:lvlText w:val="%1.%2.%3."/>
      <w:lvlJc w:val="left"/>
      <w:pPr>
        <w:ind w:left="720" w:hanging="720"/>
      </w:pPr>
      <w:rPr>
        <w:rFonts w:ascii="Times New Roman" w:hAnsi="Times New Roman" w:hint="default"/>
        <w:b/>
        <w:i w:val="0"/>
        <w:caps w:val="0"/>
        <w:strike w:val="0"/>
        <w:dstrike w:val="0"/>
        <w:vanish w:val="0"/>
        <w:color w:val="auto"/>
        <w:sz w:val="24"/>
        <w:vertAlign w:val="baseline"/>
      </w:rPr>
    </w:lvl>
    <w:lvl w:ilvl="3">
      <w:start w:val="1"/>
      <w:numFmt w:val="decimal"/>
      <w:lvlRestart w:val="1"/>
      <w:pStyle w:val="ICRPannexparagraph"/>
      <w:lvlText w:val="(%1 %4)"/>
      <w:lvlJc w:val="left"/>
      <w:pPr>
        <w:tabs>
          <w:tab w:val="num" w:pos="1004"/>
        </w:tabs>
        <w:ind w:left="0" w:firstLine="284"/>
      </w:pPr>
      <w:rPr>
        <w:rFonts w:ascii="Times New Roman" w:hAnsi="Times New Roman" w:hint="default"/>
        <w:b w:val="0"/>
        <w:i w:val="0"/>
        <w:caps w:val="0"/>
        <w:strike w:val="0"/>
        <w:dstrike w:val="0"/>
        <w:vanish w:val="0"/>
        <w:color w:val="auto"/>
        <w:sz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27BA53D8"/>
    <w:multiLevelType w:val="hybridMultilevel"/>
    <w:tmpl w:val="ECFAB0F0"/>
    <w:lvl w:ilvl="0" w:tplc="4D483D7E">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2" w15:restartNumberingAfterBreak="0">
    <w:nsid w:val="2A623C91"/>
    <w:multiLevelType w:val="multilevel"/>
    <w:tmpl w:val="4B0A32C6"/>
    <w:lvl w:ilvl="0">
      <w:start w:val="1"/>
      <w:numFmt w:val="decimal"/>
      <w:lvlText w:val="%1."/>
      <w:lvlJc w:val="left"/>
      <w:pPr>
        <w:ind w:left="720" w:hanging="360"/>
      </w:p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C340A80"/>
    <w:multiLevelType w:val="multilevel"/>
    <w:tmpl w:val="E498350A"/>
    <w:lvl w:ilvl="0">
      <w:start w:val="1"/>
      <w:numFmt w:val="upperLetter"/>
      <w:lvlText w:val="%1."/>
      <w:lvlJc w:val="left"/>
      <w:pPr>
        <w:ind w:left="360" w:hanging="360"/>
      </w:pPr>
      <w:rPr>
        <w:rFonts w:eastAsia="Times New Roman" w:hint="default"/>
        <w:b w:val="0"/>
        <w:i/>
      </w:rPr>
    </w:lvl>
    <w:lvl w:ilvl="1">
      <w:start w:val="1"/>
      <w:numFmt w:val="decimal"/>
      <w:lvlText w:val="%1.%2."/>
      <w:lvlJc w:val="left"/>
      <w:pPr>
        <w:ind w:left="360" w:hanging="360"/>
      </w:pPr>
      <w:rPr>
        <w:rFonts w:eastAsia="Times New Roman" w:hint="default"/>
        <w:b w:val="0"/>
        <w:i/>
      </w:rPr>
    </w:lvl>
    <w:lvl w:ilvl="2">
      <w:start w:val="4"/>
      <w:numFmt w:val="decimal"/>
      <w:lvlText w:val="%1.%2.%3."/>
      <w:lvlJc w:val="left"/>
      <w:pPr>
        <w:ind w:left="720" w:hanging="720"/>
      </w:pPr>
      <w:rPr>
        <w:rFonts w:eastAsia="Times New Roman" w:hint="default"/>
        <w:b w:val="0"/>
        <w:i/>
      </w:rPr>
    </w:lvl>
    <w:lvl w:ilvl="3">
      <w:start w:val="1"/>
      <w:numFmt w:val="decimal"/>
      <w:lvlText w:val="%1.%2.%3.%4."/>
      <w:lvlJc w:val="left"/>
      <w:pPr>
        <w:ind w:left="720" w:hanging="720"/>
      </w:pPr>
      <w:rPr>
        <w:rFonts w:eastAsia="Times New Roman" w:hint="default"/>
        <w:b w:val="0"/>
        <w:i/>
      </w:rPr>
    </w:lvl>
    <w:lvl w:ilvl="4">
      <w:start w:val="1"/>
      <w:numFmt w:val="decimal"/>
      <w:lvlText w:val="%1.%2.%3.%4.%5."/>
      <w:lvlJc w:val="left"/>
      <w:pPr>
        <w:ind w:left="1080" w:hanging="1080"/>
      </w:pPr>
      <w:rPr>
        <w:rFonts w:eastAsia="Times New Roman" w:hint="default"/>
        <w:b w:val="0"/>
        <w:i/>
      </w:rPr>
    </w:lvl>
    <w:lvl w:ilvl="5">
      <w:start w:val="1"/>
      <w:numFmt w:val="decimal"/>
      <w:lvlText w:val="%1.%2.%3.%4.%5.%6."/>
      <w:lvlJc w:val="left"/>
      <w:pPr>
        <w:ind w:left="1080" w:hanging="1080"/>
      </w:pPr>
      <w:rPr>
        <w:rFonts w:eastAsia="Times New Roman" w:hint="default"/>
        <w:b w:val="0"/>
        <w:i/>
      </w:rPr>
    </w:lvl>
    <w:lvl w:ilvl="6">
      <w:start w:val="1"/>
      <w:numFmt w:val="decimal"/>
      <w:lvlText w:val="%1.%2.%3.%4.%5.%6.%7."/>
      <w:lvlJc w:val="left"/>
      <w:pPr>
        <w:ind w:left="1440" w:hanging="1440"/>
      </w:pPr>
      <w:rPr>
        <w:rFonts w:eastAsia="Times New Roman" w:hint="default"/>
        <w:b w:val="0"/>
        <w:i/>
      </w:rPr>
    </w:lvl>
    <w:lvl w:ilvl="7">
      <w:start w:val="1"/>
      <w:numFmt w:val="decimal"/>
      <w:lvlText w:val="%1.%2.%3.%4.%5.%6.%7.%8."/>
      <w:lvlJc w:val="left"/>
      <w:pPr>
        <w:ind w:left="1440" w:hanging="1440"/>
      </w:pPr>
      <w:rPr>
        <w:rFonts w:eastAsia="Times New Roman" w:hint="default"/>
        <w:b w:val="0"/>
        <w:i/>
      </w:rPr>
    </w:lvl>
    <w:lvl w:ilvl="8">
      <w:start w:val="1"/>
      <w:numFmt w:val="decimal"/>
      <w:lvlText w:val="%1.%2.%3.%4.%5.%6.%7.%8.%9."/>
      <w:lvlJc w:val="left"/>
      <w:pPr>
        <w:ind w:left="1800" w:hanging="1800"/>
      </w:pPr>
      <w:rPr>
        <w:rFonts w:eastAsia="Times New Roman" w:hint="default"/>
        <w:b w:val="0"/>
        <w:i/>
      </w:rPr>
    </w:lvl>
  </w:abstractNum>
  <w:abstractNum w:abstractNumId="14" w15:restartNumberingAfterBreak="0">
    <w:nsid w:val="2E7E516C"/>
    <w:multiLevelType w:val="hybridMultilevel"/>
    <w:tmpl w:val="7F6001FA"/>
    <w:lvl w:ilvl="0" w:tplc="5A8642C8">
      <w:start w:val="1"/>
      <w:numFmt w:val="decimal"/>
      <w:pStyle w:val="NumberedList"/>
      <w:lvlText w:val="%1."/>
      <w:lvlJc w:val="left"/>
      <w:pPr>
        <w:ind w:left="1361" w:hanging="340"/>
      </w:pPr>
      <w:rPr>
        <w:rFonts w:hint="default"/>
      </w:rPr>
    </w:lvl>
    <w:lvl w:ilvl="1" w:tplc="BC78F91E">
      <w:start w:val="1"/>
      <w:numFmt w:val="lowerLetter"/>
      <w:lvlText w:val="%2."/>
      <w:lvlJc w:val="left"/>
      <w:pPr>
        <w:tabs>
          <w:tab w:val="num" w:pos="340"/>
        </w:tabs>
        <w:ind w:left="1701" w:hanging="340"/>
      </w:pPr>
      <w:rPr>
        <w:rFonts w:hint="default"/>
      </w:rPr>
    </w:lvl>
    <w:lvl w:ilvl="2" w:tplc="AE904AC6">
      <w:start w:val="1"/>
      <w:numFmt w:val="lowerRoman"/>
      <w:lvlText w:val="%3."/>
      <w:lvlJc w:val="right"/>
      <w:pPr>
        <w:ind w:left="2041" w:hanging="227"/>
      </w:pPr>
      <w:rPr>
        <w:rFonts w:hint="default"/>
      </w:rPr>
    </w:lvl>
    <w:lvl w:ilvl="3" w:tplc="6B96D124">
      <w:start w:val="1"/>
      <w:numFmt w:val="lowerLetter"/>
      <w:lvlText w:val="%4)"/>
      <w:lvlJc w:val="left"/>
      <w:pPr>
        <w:tabs>
          <w:tab w:val="num" w:pos="340"/>
        </w:tabs>
        <w:ind w:left="2381" w:hanging="340"/>
      </w:pPr>
      <w:rPr>
        <w:rFonts w:hint="default"/>
      </w:rPr>
    </w:lvl>
    <w:lvl w:ilvl="4" w:tplc="F7D072C6">
      <w:start w:val="1"/>
      <w:numFmt w:val="decimal"/>
      <w:lvlText w:val="%5)"/>
      <w:lvlJc w:val="left"/>
      <w:pPr>
        <w:tabs>
          <w:tab w:val="num" w:pos="340"/>
        </w:tabs>
        <w:ind w:left="2722" w:hanging="341"/>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3264753F"/>
    <w:multiLevelType w:val="hybridMultilevel"/>
    <w:tmpl w:val="956E2E8E"/>
    <w:lvl w:ilvl="0" w:tplc="50541C60">
      <w:start w:val="1"/>
      <w:numFmt w:val="decimal"/>
      <w:lvlText w:val="(%1)"/>
      <w:lvlJc w:val="left"/>
      <w:pPr>
        <w:tabs>
          <w:tab w:val="num" w:pos="1070"/>
        </w:tabs>
        <w:ind w:left="426" w:firstLine="284"/>
      </w:pPr>
      <w:rPr>
        <w:rFonts w:ascii="Times New Roman" w:hAnsi="Times New Roman" w:hint="default"/>
        <w:b w:val="0"/>
        <w:i w:val="0"/>
        <w:caps w:val="0"/>
        <w:strike w:val="0"/>
        <w:dstrike w:val="0"/>
        <w:vanish w:val="0"/>
        <w:color w:val="auto"/>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CF7EA4"/>
    <w:multiLevelType w:val="hybridMultilevel"/>
    <w:tmpl w:val="5106B67C"/>
    <w:lvl w:ilvl="0" w:tplc="0EF41F04">
      <w:start w:val="1"/>
      <w:numFmt w:val="decimal"/>
      <w:lvlText w:val="%1."/>
      <w:lvlJc w:val="left"/>
      <w:pPr>
        <w:ind w:left="720" w:hanging="360"/>
      </w:pPr>
      <w:rPr>
        <w:rFonts w:eastAsia="ＭＳ 明朝"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363851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5E200E"/>
    <w:multiLevelType w:val="hybridMultilevel"/>
    <w:tmpl w:val="1B2A59B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984412D"/>
    <w:multiLevelType w:val="singleLevel"/>
    <w:tmpl w:val="F824473E"/>
    <w:lvl w:ilvl="0">
      <w:start w:val="1"/>
      <w:numFmt w:val="lowerLetter"/>
      <w:pStyle w:val="Annexsumtxt"/>
      <w:lvlText w:val="(%1)"/>
      <w:lvlJc w:val="left"/>
      <w:pPr>
        <w:tabs>
          <w:tab w:val="num" w:pos="644"/>
        </w:tabs>
        <w:ind w:left="0" w:firstLine="284"/>
      </w:pPr>
      <w:rPr>
        <w:rFonts w:ascii="Times New Roman" w:hAnsi="Times New Roman" w:hint="default"/>
        <w:b w:val="0"/>
        <w:i w:val="0"/>
        <w:caps w:val="0"/>
        <w:strike w:val="0"/>
        <w:dstrike w:val="0"/>
        <w:vanish w:val="0"/>
        <w:color w:val="auto"/>
        <w:sz w:val="24"/>
        <w:vertAlign w:val="baseline"/>
      </w:rPr>
    </w:lvl>
  </w:abstractNum>
  <w:abstractNum w:abstractNumId="20" w15:restartNumberingAfterBreak="0">
    <w:nsid w:val="39E25FAF"/>
    <w:multiLevelType w:val="multilevel"/>
    <w:tmpl w:val="7F1E2E9C"/>
    <w:lvl w:ilvl="0">
      <w:start w:val="1"/>
      <w:numFmt w:val="decimal"/>
      <w:lvlText w:val=" %1."/>
      <w:lvlJc w:val="left"/>
      <w:pPr>
        <w:tabs>
          <w:tab w:val="num" w:pos="432"/>
        </w:tabs>
        <w:ind w:left="432" w:hanging="432"/>
      </w:pPr>
      <w:rPr>
        <w:rFonts w:ascii="Times New Roman" w:hAnsi="Times New Roman" w:hint="default"/>
        <w:b/>
        <w:i w:val="0"/>
        <w:caps w:val="0"/>
        <w:strike w:val="0"/>
        <w:dstrike w:val="0"/>
        <w:vanish w:val="0"/>
        <w:color w:val="000000"/>
        <w:sz w:val="24"/>
        <w:vertAlign w:val="baseline"/>
      </w:rPr>
    </w:lvl>
    <w:lvl w:ilvl="1">
      <w:start w:val="1"/>
      <w:numFmt w:val="decimal"/>
      <w:pStyle w:val="Annsp53hdB"/>
      <w:lvlText w:val="%1.%2."/>
      <w:lvlJc w:val="left"/>
      <w:pPr>
        <w:tabs>
          <w:tab w:val="num" w:pos="576"/>
        </w:tabs>
        <w:ind w:left="576" w:hanging="576"/>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720"/>
        </w:tabs>
        <w:ind w:left="720" w:hanging="720"/>
      </w:pPr>
      <w:rPr>
        <w:rFonts w:ascii="Times New Roman" w:hAnsi="Times New Roman" w:hint="default"/>
        <w:b/>
        <w:i w:val="0"/>
        <w:caps w:val="0"/>
        <w:strike w:val="0"/>
        <w:dstrike w:val="0"/>
        <w:vanish w:val="0"/>
        <w:color w:val="000000"/>
        <w:sz w:val="24"/>
        <w:vertAlign w:val="baseline"/>
      </w:rPr>
    </w:lvl>
    <w:lvl w:ilvl="3">
      <w:start w:val="1"/>
      <w:numFmt w:val="decimal"/>
      <w:pStyle w:val="Annsp53hdD"/>
      <w:lvlText w:val="%1.%2.%3.%4."/>
      <w:lvlJc w:val="left"/>
      <w:pPr>
        <w:tabs>
          <w:tab w:val="num" w:pos="864"/>
        </w:tabs>
        <w:ind w:left="864" w:hanging="864"/>
      </w:pPr>
      <w:rPr>
        <w:rFonts w:ascii="Times New Roman" w:hAnsi="Times New Roman" w:hint="default"/>
        <w:b w:val="0"/>
        <w:i/>
        <w:caps w:val="0"/>
        <w:strike w:val="0"/>
        <w:dstrike w:val="0"/>
        <w:vanish w:val="0"/>
        <w:color w:val="000000"/>
        <w:sz w:val="24"/>
        <w:vertAlign w:val="baseli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3C9C78CC"/>
    <w:multiLevelType w:val="hybridMultilevel"/>
    <w:tmpl w:val="D8B8A44A"/>
    <w:styleLink w:val="ImportedStyle6"/>
    <w:lvl w:ilvl="0" w:tplc="420E69A4">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FDA521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24B4C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B449D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A12BA">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8C928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023C30">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92EBB6">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14718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3CF24E6C"/>
    <w:multiLevelType w:val="hybridMultilevel"/>
    <w:tmpl w:val="CF1A956C"/>
    <w:lvl w:ilvl="0" w:tplc="C598F4C0">
      <w:start w:val="1"/>
      <w:numFmt w:val="bullet"/>
      <w:pStyle w:val="a"/>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08572E1"/>
    <w:multiLevelType w:val="hybridMultilevel"/>
    <w:tmpl w:val="B9B8619E"/>
    <w:lvl w:ilvl="0" w:tplc="2E78FB26">
      <w:start w:val="1"/>
      <w:numFmt w:val="decimal"/>
      <w:lvlText w:val="(%1)"/>
      <w:lvlJc w:val="left"/>
      <w:pPr>
        <w:tabs>
          <w:tab w:val="num" w:pos="1070"/>
        </w:tabs>
        <w:ind w:left="426" w:firstLine="284"/>
      </w:pPr>
      <w:rPr>
        <w:rFonts w:ascii="Times New Roman" w:hAnsi="Times New Roman" w:hint="default"/>
        <w:b w:val="0"/>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A15B1A"/>
    <w:multiLevelType w:val="hybridMultilevel"/>
    <w:tmpl w:val="E8F48BA6"/>
    <w:lvl w:ilvl="0" w:tplc="4D483D7E">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47084F54"/>
    <w:multiLevelType w:val="hybridMultilevel"/>
    <w:tmpl w:val="DE889068"/>
    <w:lvl w:ilvl="0" w:tplc="2B5006F4">
      <w:start w:val="2"/>
      <w:numFmt w:val="bullet"/>
      <w:lvlText w:val="-"/>
      <w:lvlJc w:val="left"/>
      <w:pPr>
        <w:ind w:left="578" w:hanging="360"/>
      </w:pPr>
      <w:rPr>
        <w:rFonts w:ascii="Calibri Light" w:eastAsia="Calibri" w:hAnsi="Calibri Light" w:cs="Calibri Light"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6" w15:restartNumberingAfterBreak="0">
    <w:nsid w:val="471D5856"/>
    <w:multiLevelType w:val="hybridMultilevel"/>
    <w:tmpl w:val="46C095D6"/>
    <w:lvl w:ilvl="0" w:tplc="6DE67C42">
      <w:start w:val="1"/>
      <w:numFmt w:val="decimal"/>
      <w:lvlText w:val="(%1)"/>
      <w:lvlJc w:val="left"/>
      <w:pPr>
        <w:tabs>
          <w:tab w:val="num" w:pos="1070"/>
        </w:tabs>
        <w:ind w:left="426" w:firstLine="284"/>
      </w:pPr>
      <w:rPr>
        <w:rFonts w:ascii="Times New Roman" w:hAnsi="Times New Roman" w:hint="default"/>
        <w:b w:val="0"/>
        <w:i w:val="0"/>
        <w:caps w:val="0"/>
        <w:strike w:val="0"/>
        <w:dstrike w:val="0"/>
        <w:vanish w:val="0"/>
        <w:color w:val="auto"/>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E751E18"/>
    <w:multiLevelType w:val="hybridMultilevel"/>
    <w:tmpl w:val="F9BE76BE"/>
    <w:lvl w:ilvl="0" w:tplc="92DEEC68">
      <w:start w:val="1"/>
      <w:numFmt w:val="decimal"/>
      <w:lvlText w:val="(%1)"/>
      <w:lvlJc w:val="left"/>
      <w:pPr>
        <w:tabs>
          <w:tab w:val="num" w:pos="648"/>
        </w:tabs>
        <w:ind w:left="-144" w:firstLine="432"/>
      </w:pPr>
      <w:rPr>
        <w:rFonts w:ascii="Times New Roman" w:hAnsi="Times New Roman" w:hint="default"/>
        <w:b w:val="0"/>
        <w:i w:val="0"/>
        <w:caps w:val="0"/>
        <w:strike w:val="0"/>
        <w:dstrike w:val="0"/>
        <w:vanish w:val="0"/>
        <w:color w:val="auto"/>
        <w:sz w:val="24"/>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E9485B"/>
    <w:multiLevelType w:val="hybridMultilevel"/>
    <w:tmpl w:val="293EA88C"/>
    <w:lvl w:ilvl="0" w:tplc="967CBCF6">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9" w15:restartNumberingAfterBreak="0">
    <w:nsid w:val="56067B00"/>
    <w:multiLevelType w:val="multilevel"/>
    <w:tmpl w:val="E78A5A88"/>
    <w:lvl w:ilvl="0">
      <w:start w:val="1"/>
      <w:numFmt w:val="decimal"/>
      <w:lvlText w:val="%1."/>
      <w:lvlJc w:val="left"/>
      <w:pPr>
        <w:tabs>
          <w:tab w:val="num" w:pos="432"/>
        </w:tabs>
        <w:ind w:left="432" w:hanging="432"/>
      </w:pPr>
      <w:rPr>
        <w:rFonts w:ascii="Times New Roman" w:hAnsi="Times New Roman" w:hint="default"/>
        <w:b/>
        <w:i w:val="0"/>
        <w:caps w:val="0"/>
        <w:strike w:val="0"/>
        <w:dstrike w:val="0"/>
        <w:vanish w:val="0"/>
        <w:color w:val="000000"/>
        <w:sz w:val="24"/>
        <w:vertAlign w:val="baseline"/>
      </w:rPr>
    </w:lvl>
    <w:lvl w:ilvl="1">
      <w:start w:val="1"/>
      <w:numFmt w:val="decimal"/>
      <w:lvlText w:val="%1.%2."/>
      <w:lvlJc w:val="left"/>
      <w:pPr>
        <w:tabs>
          <w:tab w:val="num" w:pos="576"/>
        </w:tabs>
        <w:ind w:left="576" w:hanging="576"/>
      </w:pPr>
      <w:rPr>
        <w:rFonts w:ascii="Times New Roman" w:hAnsi="Times New Roman" w:hint="default"/>
        <w:b/>
        <w:i w:val="0"/>
        <w:caps w:val="0"/>
        <w:strike w:val="0"/>
        <w:dstrike w:val="0"/>
        <w:vanish w:val="0"/>
        <w:color w:val="000000"/>
        <w:sz w:val="24"/>
        <w:vertAlign w:val="baseline"/>
      </w:rPr>
    </w:lvl>
    <w:lvl w:ilvl="2">
      <w:start w:val="1"/>
      <w:numFmt w:val="decimal"/>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0" w15:restartNumberingAfterBreak="0">
    <w:nsid w:val="56A66997"/>
    <w:multiLevelType w:val="multilevel"/>
    <w:tmpl w:val="6C4C1BAE"/>
    <w:lvl w:ilvl="0">
      <w:start w:val="1"/>
      <w:numFmt w:val="decimal"/>
      <w:pStyle w:val="ICRPnumberedparagraph"/>
      <w:lvlText w:val="%1."/>
      <w:lvlJc w:val="left"/>
      <w:pPr>
        <w:tabs>
          <w:tab w:val="num" w:pos="8730"/>
        </w:tabs>
        <w:ind w:left="8730" w:hanging="360"/>
      </w:pPr>
      <w:rPr>
        <w:rFonts w:ascii="Times New Roman" w:hAnsi="Times New Roman" w:hint="default"/>
        <w:b/>
        <w:i w:val="0"/>
        <w:sz w:val="28"/>
        <w:szCs w:val="28"/>
      </w:rPr>
    </w:lvl>
    <w:lvl w:ilvl="1">
      <w:start w:val="1"/>
      <w:numFmt w:val="decimal"/>
      <w:pStyle w:val="AnnalshdgB"/>
      <w:lvlText w:val="%2."/>
      <w:lvlJc w:val="left"/>
      <w:pPr>
        <w:tabs>
          <w:tab w:val="num" w:pos="2378"/>
        </w:tabs>
        <w:ind w:left="2378" w:hanging="578"/>
      </w:pPr>
      <w:rPr>
        <w:rFonts w:hint="default"/>
        <w:b/>
        <w:i w:val="0"/>
        <w:sz w:val="28"/>
        <w:szCs w:val="28"/>
      </w:rPr>
    </w:lvl>
    <w:lvl w:ilvl="2">
      <w:start w:val="1"/>
      <w:numFmt w:val="decimal"/>
      <w:pStyle w:val="AnnalshdgC"/>
      <w:lvlText w:val="%1.%2.%3."/>
      <w:lvlJc w:val="left"/>
      <w:pPr>
        <w:tabs>
          <w:tab w:val="num" w:pos="2700"/>
        </w:tabs>
        <w:ind w:left="1980" w:firstLine="0"/>
      </w:pPr>
      <w:rPr>
        <w:rFonts w:ascii="Times New Roman" w:hAnsi="Times New Roman" w:hint="default"/>
        <w:b/>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7AB0D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32" w15:restartNumberingAfterBreak="0">
    <w:nsid w:val="5A4B287A"/>
    <w:multiLevelType w:val="hybridMultilevel"/>
    <w:tmpl w:val="4148CF3C"/>
    <w:lvl w:ilvl="0" w:tplc="4D483D7E">
      <w:start w:val="1"/>
      <w:numFmt w:val="bullet"/>
      <w:lvlText w:val=""/>
      <w:lvlJc w:val="left"/>
      <w:pPr>
        <w:ind w:left="1298" w:hanging="360"/>
      </w:pPr>
      <w:rPr>
        <w:rFonts w:ascii="Symbol" w:hAnsi="Symbol" w:hint="default"/>
      </w:rPr>
    </w:lvl>
    <w:lvl w:ilvl="1" w:tplc="08090003" w:tentative="1">
      <w:start w:val="1"/>
      <w:numFmt w:val="bullet"/>
      <w:lvlText w:val="o"/>
      <w:lvlJc w:val="left"/>
      <w:pPr>
        <w:ind w:left="2018" w:hanging="360"/>
      </w:pPr>
      <w:rPr>
        <w:rFonts w:ascii="Courier New" w:hAnsi="Courier New" w:cs="Courier New" w:hint="default"/>
      </w:rPr>
    </w:lvl>
    <w:lvl w:ilvl="2" w:tplc="08090005" w:tentative="1">
      <w:start w:val="1"/>
      <w:numFmt w:val="bullet"/>
      <w:lvlText w:val=""/>
      <w:lvlJc w:val="left"/>
      <w:pPr>
        <w:ind w:left="2738" w:hanging="360"/>
      </w:pPr>
      <w:rPr>
        <w:rFonts w:ascii="Wingdings" w:hAnsi="Wingdings" w:hint="default"/>
      </w:rPr>
    </w:lvl>
    <w:lvl w:ilvl="3" w:tplc="08090001" w:tentative="1">
      <w:start w:val="1"/>
      <w:numFmt w:val="bullet"/>
      <w:lvlText w:val=""/>
      <w:lvlJc w:val="left"/>
      <w:pPr>
        <w:ind w:left="3458" w:hanging="360"/>
      </w:pPr>
      <w:rPr>
        <w:rFonts w:ascii="Symbol" w:hAnsi="Symbol" w:hint="default"/>
      </w:rPr>
    </w:lvl>
    <w:lvl w:ilvl="4" w:tplc="08090003" w:tentative="1">
      <w:start w:val="1"/>
      <w:numFmt w:val="bullet"/>
      <w:lvlText w:val="o"/>
      <w:lvlJc w:val="left"/>
      <w:pPr>
        <w:ind w:left="4178" w:hanging="360"/>
      </w:pPr>
      <w:rPr>
        <w:rFonts w:ascii="Courier New" w:hAnsi="Courier New" w:cs="Courier New" w:hint="default"/>
      </w:rPr>
    </w:lvl>
    <w:lvl w:ilvl="5" w:tplc="08090005" w:tentative="1">
      <w:start w:val="1"/>
      <w:numFmt w:val="bullet"/>
      <w:lvlText w:val=""/>
      <w:lvlJc w:val="left"/>
      <w:pPr>
        <w:ind w:left="4898" w:hanging="360"/>
      </w:pPr>
      <w:rPr>
        <w:rFonts w:ascii="Wingdings" w:hAnsi="Wingdings" w:hint="default"/>
      </w:rPr>
    </w:lvl>
    <w:lvl w:ilvl="6" w:tplc="08090001" w:tentative="1">
      <w:start w:val="1"/>
      <w:numFmt w:val="bullet"/>
      <w:lvlText w:val=""/>
      <w:lvlJc w:val="left"/>
      <w:pPr>
        <w:ind w:left="5618" w:hanging="360"/>
      </w:pPr>
      <w:rPr>
        <w:rFonts w:ascii="Symbol" w:hAnsi="Symbol" w:hint="default"/>
      </w:rPr>
    </w:lvl>
    <w:lvl w:ilvl="7" w:tplc="08090003" w:tentative="1">
      <w:start w:val="1"/>
      <w:numFmt w:val="bullet"/>
      <w:lvlText w:val="o"/>
      <w:lvlJc w:val="left"/>
      <w:pPr>
        <w:ind w:left="6338" w:hanging="360"/>
      </w:pPr>
      <w:rPr>
        <w:rFonts w:ascii="Courier New" w:hAnsi="Courier New" w:cs="Courier New" w:hint="default"/>
      </w:rPr>
    </w:lvl>
    <w:lvl w:ilvl="8" w:tplc="08090005" w:tentative="1">
      <w:start w:val="1"/>
      <w:numFmt w:val="bullet"/>
      <w:lvlText w:val=""/>
      <w:lvlJc w:val="left"/>
      <w:pPr>
        <w:ind w:left="7058" w:hanging="360"/>
      </w:pPr>
      <w:rPr>
        <w:rFonts w:ascii="Wingdings" w:hAnsi="Wingdings" w:hint="default"/>
      </w:rPr>
    </w:lvl>
  </w:abstractNum>
  <w:abstractNum w:abstractNumId="33" w15:restartNumberingAfterBreak="0">
    <w:nsid w:val="5AA41756"/>
    <w:multiLevelType w:val="hybridMultilevel"/>
    <w:tmpl w:val="03285424"/>
    <w:lvl w:ilvl="0" w:tplc="7DAC8C32">
      <w:start w:val="1"/>
      <w:numFmt w:val="bullet"/>
      <w:lvlText w:val="•"/>
      <w:lvlJc w:val="left"/>
      <w:pPr>
        <w:tabs>
          <w:tab w:val="num" w:pos="720"/>
        </w:tabs>
        <w:ind w:left="720" w:hanging="360"/>
      </w:pPr>
      <w:rPr>
        <w:rFonts w:ascii="Arial" w:hAnsi="Arial" w:hint="default"/>
      </w:rPr>
    </w:lvl>
    <w:lvl w:ilvl="1" w:tplc="C046DB32">
      <w:start w:val="1"/>
      <w:numFmt w:val="bullet"/>
      <w:lvlText w:val="•"/>
      <w:lvlJc w:val="left"/>
      <w:pPr>
        <w:tabs>
          <w:tab w:val="num" w:pos="1440"/>
        </w:tabs>
        <w:ind w:left="1440" w:hanging="360"/>
      </w:pPr>
      <w:rPr>
        <w:rFonts w:ascii="Arial" w:hAnsi="Arial" w:hint="default"/>
      </w:rPr>
    </w:lvl>
    <w:lvl w:ilvl="2" w:tplc="9C9C726C" w:tentative="1">
      <w:start w:val="1"/>
      <w:numFmt w:val="bullet"/>
      <w:lvlText w:val="•"/>
      <w:lvlJc w:val="left"/>
      <w:pPr>
        <w:tabs>
          <w:tab w:val="num" w:pos="2160"/>
        </w:tabs>
        <w:ind w:left="2160" w:hanging="360"/>
      </w:pPr>
      <w:rPr>
        <w:rFonts w:ascii="Arial" w:hAnsi="Arial" w:hint="default"/>
      </w:rPr>
    </w:lvl>
    <w:lvl w:ilvl="3" w:tplc="16F4D0BA" w:tentative="1">
      <w:start w:val="1"/>
      <w:numFmt w:val="bullet"/>
      <w:lvlText w:val="•"/>
      <w:lvlJc w:val="left"/>
      <w:pPr>
        <w:tabs>
          <w:tab w:val="num" w:pos="2880"/>
        </w:tabs>
        <w:ind w:left="2880" w:hanging="360"/>
      </w:pPr>
      <w:rPr>
        <w:rFonts w:ascii="Arial" w:hAnsi="Arial" w:hint="default"/>
      </w:rPr>
    </w:lvl>
    <w:lvl w:ilvl="4" w:tplc="2D64BBFC" w:tentative="1">
      <w:start w:val="1"/>
      <w:numFmt w:val="bullet"/>
      <w:lvlText w:val="•"/>
      <w:lvlJc w:val="left"/>
      <w:pPr>
        <w:tabs>
          <w:tab w:val="num" w:pos="3600"/>
        </w:tabs>
        <w:ind w:left="3600" w:hanging="360"/>
      </w:pPr>
      <w:rPr>
        <w:rFonts w:ascii="Arial" w:hAnsi="Arial" w:hint="default"/>
      </w:rPr>
    </w:lvl>
    <w:lvl w:ilvl="5" w:tplc="2E12C43E" w:tentative="1">
      <w:start w:val="1"/>
      <w:numFmt w:val="bullet"/>
      <w:lvlText w:val="•"/>
      <w:lvlJc w:val="left"/>
      <w:pPr>
        <w:tabs>
          <w:tab w:val="num" w:pos="4320"/>
        </w:tabs>
        <w:ind w:left="4320" w:hanging="360"/>
      </w:pPr>
      <w:rPr>
        <w:rFonts w:ascii="Arial" w:hAnsi="Arial" w:hint="default"/>
      </w:rPr>
    </w:lvl>
    <w:lvl w:ilvl="6" w:tplc="36DAB65C" w:tentative="1">
      <w:start w:val="1"/>
      <w:numFmt w:val="bullet"/>
      <w:lvlText w:val="•"/>
      <w:lvlJc w:val="left"/>
      <w:pPr>
        <w:tabs>
          <w:tab w:val="num" w:pos="5040"/>
        </w:tabs>
        <w:ind w:left="5040" w:hanging="360"/>
      </w:pPr>
      <w:rPr>
        <w:rFonts w:ascii="Arial" w:hAnsi="Arial" w:hint="default"/>
      </w:rPr>
    </w:lvl>
    <w:lvl w:ilvl="7" w:tplc="9AD09ECC" w:tentative="1">
      <w:start w:val="1"/>
      <w:numFmt w:val="bullet"/>
      <w:lvlText w:val="•"/>
      <w:lvlJc w:val="left"/>
      <w:pPr>
        <w:tabs>
          <w:tab w:val="num" w:pos="5760"/>
        </w:tabs>
        <w:ind w:left="5760" w:hanging="360"/>
      </w:pPr>
      <w:rPr>
        <w:rFonts w:ascii="Arial" w:hAnsi="Arial" w:hint="default"/>
      </w:rPr>
    </w:lvl>
    <w:lvl w:ilvl="8" w:tplc="689237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B812769"/>
    <w:multiLevelType w:val="hybridMultilevel"/>
    <w:tmpl w:val="779C4012"/>
    <w:lvl w:ilvl="0" w:tplc="4D483D7E">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35" w15:restartNumberingAfterBreak="0">
    <w:nsid w:val="5C1F6A25"/>
    <w:multiLevelType w:val="hybridMultilevel"/>
    <w:tmpl w:val="9A369AB6"/>
    <w:lvl w:ilvl="0" w:tplc="4D483D7E">
      <w:start w:val="1"/>
      <w:numFmt w:val="bullet"/>
      <w:lvlText w:val=""/>
      <w:lvlJc w:val="left"/>
      <w:pPr>
        <w:ind w:left="1724" w:hanging="360"/>
      </w:pPr>
      <w:rPr>
        <w:rFonts w:ascii="Symbol" w:hAnsi="Symbol" w:hint="default"/>
      </w:rPr>
    </w:lvl>
    <w:lvl w:ilvl="1" w:tplc="08090003" w:tentative="1">
      <w:start w:val="1"/>
      <w:numFmt w:val="bullet"/>
      <w:lvlText w:val="o"/>
      <w:lvlJc w:val="left"/>
      <w:pPr>
        <w:ind w:left="2444" w:hanging="360"/>
      </w:pPr>
      <w:rPr>
        <w:rFonts w:ascii="Courier New" w:hAnsi="Courier New" w:cs="Courier New" w:hint="default"/>
      </w:rPr>
    </w:lvl>
    <w:lvl w:ilvl="2" w:tplc="08090005" w:tentative="1">
      <w:start w:val="1"/>
      <w:numFmt w:val="bullet"/>
      <w:lvlText w:val=""/>
      <w:lvlJc w:val="left"/>
      <w:pPr>
        <w:ind w:left="3164" w:hanging="360"/>
      </w:pPr>
      <w:rPr>
        <w:rFonts w:ascii="Wingdings" w:hAnsi="Wingdings" w:hint="default"/>
      </w:rPr>
    </w:lvl>
    <w:lvl w:ilvl="3" w:tplc="08090001" w:tentative="1">
      <w:start w:val="1"/>
      <w:numFmt w:val="bullet"/>
      <w:lvlText w:val=""/>
      <w:lvlJc w:val="left"/>
      <w:pPr>
        <w:ind w:left="3884" w:hanging="360"/>
      </w:pPr>
      <w:rPr>
        <w:rFonts w:ascii="Symbol" w:hAnsi="Symbol" w:hint="default"/>
      </w:rPr>
    </w:lvl>
    <w:lvl w:ilvl="4" w:tplc="08090003" w:tentative="1">
      <w:start w:val="1"/>
      <w:numFmt w:val="bullet"/>
      <w:lvlText w:val="o"/>
      <w:lvlJc w:val="left"/>
      <w:pPr>
        <w:ind w:left="4604" w:hanging="360"/>
      </w:pPr>
      <w:rPr>
        <w:rFonts w:ascii="Courier New" w:hAnsi="Courier New" w:cs="Courier New" w:hint="default"/>
      </w:rPr>
    </w:lvl>
    <w:lvl w:ilvl="5" w:tplc="08090005" w:tentative="1">
      <w:start w:val="1"/>
      <w:numFmt w:val="bullet"/>
      <w:lvlText w:val=""/>
      <w:lvlJc w:val="left"/>
      <w:pPr>
        <w:ind w:left="5324" w:hanging="360"/>
      </w:pPr>
      <w:rPr>
        <w:rFonts w:ascii="Wingdings" w:hAnsi="Wingdings" w:hint="default"/>
      </w:rPr>
    </w:lvl>
    <w:lvl w:ilvl="6" w:tplc="08090001" w:tentative="1">
      <w:start w:val="1"/>
      <w:numFmt w:val="bullet"/>
      <w:lvlText w:val=""/>
      <w:lvlJc w:val="left"/>
      <w:pPr>
        <w:ind w:left="6044" w:hanging="360"/>
      </w:pPr>
      <w:rPr>
        <w:rFonts w:ascii="Symbol" w:hAnsi="Symbol" w:hint="default"/>
      </w:rPr>
    </w:lvl>
    <w:lvl w:ilvl="7" w:tplc="08090003" w:tentative="1">
      <w:start w:val="1"/>
      <w:numFmt w:val="bullet"/>
      <w:lvlText w:val="o"/>
      <w:lvlJc w:val="left"/>
      <w:pPr>
        <w:ind w:left="6764" w:hanging="360"/>
      </w:pPr>
      <w:rPr>
        <w:rFonts w:ascii="Courier New" w:hAnsi="Courier New" w:cs="Courier New" w:hint="default"/>
      </w:rPr>
    </w:lvl>
    <w:lvl w:ilvl="8" w:tplc="08090005" w:tentative="1">
      <w:start w:val="1"/>
      <w:numFmt w:val="bullet"/>
      <w:lvlText w:val=""/>
      <w:lvlJc w:val="left"/>
      <w:pPr>
        <w:ind w:left="7484" w:hanging="360"/>
      </w:pPr>
      <w:rPr>
        <w:rFonts w:ascii="Wingdings" w:hAnsi="Wingdings" w:hint="default"/>
      </w:rPr>
    </w:lvl>
  </w:abstractNum>
  <w:abstractNum w:abstractNumId="36" w15:restartNumberingAfterBreak="0">
    <w:nsid w:val="60887E2F"/>
    <w:multiLevelType w:val="multilevel"/>
    <w:tmpl w:val="5C8CC150"/>
    <w:lvl w:ilvl="0">
      <w:start w:val="1"/>
      <w:numFmt w:val="upperLetter"/>
      <w:pStyle w:val="AnnAnxhdA"/>
      <w:lvlText w:val="APPENDIX %1."/>
      <w:lvlJc w:val="left"/>
      <w:pPr>
        <w:tabs>
          <w:tab w:val="num" w:pos="1800"/>
        </w:tabs>
        <w:ind w:left="0" w:firstLine="0"/>
      </w:pPr>
      <w:rPr>
        <w:rFonts w:ascii="Times New Roman" w:hAnsi="Times New Roman" w:hint="default"/>
        <w:b/>
        <w:i w:val="0"/>
        <w:caps w:val="0"/>
        <w:strike w:val="0"/>
        <w:dstrike w:val="0"/>
        <w:vanish w:val="0"/>
        <w:color w:val="000000"/>
        <w:sz w:val="24"/>
        <w:vertAlign w:val="baseline"/>
      </w:rPr>
    </w:lvl>
    <w:lvl w:ilvl="1">
      <w:start w:val="1"/>
      <w:numFmt w:val="decimal"/>
      <w:pStyle w:val="AnnalsAnxhdB"/>
      <w:lvlText w:val="%1.%2."/>
      <w:lvlJc w:val="left"/>
      <w:pPr>
        <w:tabs>
          <w:tab w:val="num" w:pos="576"/>
        </w:tabs>
        <w:ind w:left="576" w:hanging="576"/>
      </w:pPr>
      <w:rPr>
        <w:rFonts w:ascii="Times New Roman" w:hAnsi="Times New Roman" w:hint="default"/>
        <w:b/>
        <w:i w:val="0"/>
        <w:caps w:val="0"/>
        <w:strike w:val="0"/>
        <w:dstrike w:val="0"/>
        <w:vanish w:val="0"/>
        <w:color w:val="auto"/>
        <w:sz w:val="28"/>
        <w:szCs w:val="28"/>
        <w:vertAlign w:val="baseline"/>
      </w:rPr>
    </w:lvl>
    <w:lvl w:ilvl="2">
      <w:start w:val="1"/>
      <w:numFmt w:val="decimal"/>
      <w:pStyle w:val="AnnalsAnxhdC"/>
      <w:lvlText w:val="%1.%2.%3."/>
      <w:lvlJc w:val="left"/>
      <w:pPr>
        <w:tabs>
          <w:tab w:val="num" w:pos="720"/>
        </w:tabs>
        <w:ind w:left="720" w:hanging="720"/>
      </w:pPr>
      <w:rPr>
        <w:rFonts w:ascii="Times New Roman" w:hAnsi="Times New Roman" w:hint="default"/>
        <w:b/>
        <w:i w:val="0"/>
        <w:caps w:val="0"/>
        <w:strike w:val="0"/>
        <w:dstrike w:val="0"/>
        <w:vanish w:val="0"/>
        <w:color w:val="auto"/>
        <w:sz w:val="24"/>
        <w:vertAlign w:val="baseline"/>
      </w:rPr>
    </w:lvl>
    <w:lvl w:ilvl="3">
      <w:start w:val="1"/>
      <w:numFmt w:val="decimal"/>
      <w:lvlRestart w:val="1"/>
      <w:pStyle w:val="Annaddtxt"/>
      <w:lvlText w:val="(%1 %4)"/>
      <w:lvlJc w:val="left"/>
      <w:pPr>
        <w:tabs>
          <w:tab w:val="num" w:pos="1004"/>
        </w:tabs>
        <w:ind w:left="0" w:firstLine="284"/>
      </w:pPr>
      <w:rPr>
        <w:rFonts w:ascii="Times New Roman" w:hAnsi="Times New Roman" w:hint="default"/>
        <w:b w:val="0"/>
        <w:i w:val="0"/>
        <w:caps w:val="0"/>
        <w:strike w:val="0"/>
        <w:dstrike w:val="0"/>
        <w:vanish w:val="0"/>
        <w:color w:val="auto"/>
        <w:sz w:val="24"/>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53A418C"/>
    <w:multiLevelType w:val="singleLevel"/>
    <w:tmpl w:val="6A3E5154"/>
    <w:lvl w:ilvl="0">
      <w:start w:val="1"/>
      <w:numFmt w:val="decimal"/>
      <w:pStyle w:val="Anaddtxt"/>
      <w:lvlText w:val="%1."/>
      <w:lvlJc w:val="left"/>
      <w:pPr>
        <w:tabs>
          <w:tab w:val="num" w:pos="360"/>
        </w:tabs>
        <w:ind w:left="360" w:hanging="360"/>
      </w:pPr>
    </w:lvl>
  </w:abstractNum>
  <w:abstractNum w:abstractNumId="38" w15:restartNumberingAfterBreak="0">
    <w:nsid w:val="69483724"/>
    <w:multiLevelType w:val="hybridMultilevel"/>
    <w:tmpl w:val="9A646400"/>
    <w:lvl w:ilvl="0" w:tplc="93F22712">
      <w:start w:val="1"/>
      <w:numFmt w:val="decimal"/>
      <w:lvlText w:val="(%1)"/>
      <w:lvlJc w:val="left"/>
      <w:pPr>
        <w:tabs>
          <w:tab w:val="num" w:pos="360"/>
        </w:tabs>
        <w:ind w:left="-288" w:firstLine="288"/>
      </w:pPr>
      <w:rPr>
        <w:rFonts w:ascii="Times New Roman" w:hAnsi="Times New Roman" w:hint="default"/>
        <w:b w:val="0"/>
        <w:i w:val="0"/>
        <w:caps w:val="0"/>
        <w:strike w:val="0"/>
        <w:dstrike w:val="0"/>
        <w:vanish w:val="0"/>
        <w:color w:val="auto"/>
        <w:sz w:val="24"/>
        <w:vertAlign w:val="baseline"/>
      </w:rPr>
    </w:lvl>
    <w:lvl w:ilvl="1" w:tplc="FFFFFFFF">
      <w:start w:val="1"/>
      <w:numFmt w:val="lowerRoman"/>
      <w:lvlText w:val="(%2)"/>
      <w:lvlJc w:val="left"/>
      <w:pPr>
        <w:tabs>
          <w:tab w:val="num" w:pos="1800"/>
        </w:tabs>
        <w:ind w:left="1800" w:hanging="720"/>
      </w:pPr>
      <w:rPr>
        <w:rFonts w:hint="default"/>
      </w:rPr>
    </w:lvl>
    <w:lvl w:ilvl="2" w:tplc="FFFFFFFF">
      <w:start w:val="1"/>
      <w:numFmt w:val="bullet"/>
      <w:lvlText w:val=""/>
      <w:lvlJc w:val="left"/>
      <w:pPr>
        <w:tabs>
          <w:tab w:val="num" w:pos="2340"/>
        </w:tabs>
        <w:ind w:left="2340" w:hanging="360"/>
      </w:pPr>
      <w:rPr>
        <w:rFonts w:ascii="Symbol" w:hAnsi="Symbol" w:hint="default"/>
      </w:rPr>
    </w:lvl>
    <w:lvl w:ilvl="3" w:tplc="B7224282">
      <w:start w:val="1"/>
      <w:numFmt w:val="lowerLetter"/>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AC1357A"/>
    <w:multiLevelType w:val="hybridMultilevel"/>
    <w:tmpl w:val="90347C4A"/>
    <w:lvl w:ilvl="0" w:tplc="8DCEB35C">
      <w:start w:val="1"/>
      <w:numFmt w:val="decimal"/>
      <w:lvlText w:val="(%1)"/>
      <w:lvlJc w:val="left"/>
      <w:pPr>
        <w:tabs>
          <w:tab w:val="num" w:pos="1070"/>
        </w:tabs>
        <w:ind w:left="426" w:firstLine="284"/>
      </w:pPr>
      <w:rPr>
        <w:rFonts w:ascii="Times New Roman" w:hAnsi="Times New Roman" w:hint="default"/>
        <w:b w:val="0"/>
        <w:i w:val="0"/>
        <w:caps w:val="0"/>
        <w:strike w:val="0"/>
        <w:dstrike w:val="0"/>
        <w:vanish w:val="0"/>
        <w:color w:val="auto"/>
        <w:sz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3551DF"/>
    <w:multiLevelType w:val="hybridMultilevel"/>
    <w:tmpl w:val="5492EF48"/>
    <w:lvl w:ilvl="0" w:tplc="2B5006F4">
      <w:start w:val="2"/>
      <w:numFmt w:val="bullet"/>
      <w:lvlText w:val="-"/>
      <w:lvlJc w:val="left"/>
      <w:pPr>
        <w:ind w:left="578" w:hanging="360"/>
      </w:pPr>
      <w:rPr>
        <w:rFonts w:ascii="Calibri Light" w:eastAsia="Calibri" w:hAnsi="Calibri Light" w:cs="Calibri Light"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41" w15:restartNumberingAfterBreak="0">
    <w:nsid w:val="72CB1C9D"/>
    <w:multiLevelType w:val="hybridMultilevel"/>
    <w:tmpl w:val="E90CF5AC"/>
    <w:lvl w:ilvl="0" w:tplc="2B5006F4">
      <w:start w:val="2"/>
      <w:numFmt w:val="bullet"/>
      <w:lvlText w:val="-"/>
      <w:lvlJc w:val="left"/>
      <w:pPr>
        <w:ind w:left="1004" w:hanging="360"/>
      </w:pPr>
      <w:rPr>
        <w:rFonts w:ascii="Calibri Light" w:eastAsia="Calibri" w:hAnsi="Calibri Light" w:cs="Calibri Light"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15:restartNumberingAfterBreak="0">
    <w:nsid w:val="739D19A7"/>
    <w:multiLevelType w:val="multilevel"/>
    <w:tmpl w:val="0409001F"/>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bCs w:val="0"/>
        <w:i w:val="0"/>
      </w:rPr>
    </w:lvl>
    <w:lvl w:ilvl="2">
      <w:start w:val="1"/>
      <w:numFmt w:val="decimal"/>
      <w:lvlText w:val="%1.%2.%3."/>
      <w:lvlJc w:val="left"/>
      <w:pPr>
        <w:ind w:left="709" w:hanging="709"/>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992" w:hanging="992"/>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6" w:hanging="1276"/>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9" w:hanging="1559"/>
      </w:pPr>
      <w:rPr>
        <w:rFonts w:hint="default"/>
      </w:rPr>
    </w:lvl>
  </w:abstractNum>
  <w:num w:numId="1" w16cid:durableId="1083458171">
    <w:abstractNumId w:val="28"/>
  </w:num>
  <w:num w:numId="2" w16cid:durableId="2019116319">
    <w:abstractNumId w:val="37"/>
  </w:num>
  <w:num w:numId="3" w16cid:durableId="473914909">
    <w:abstractNumId w:val="19"/>
  </w:num>
  <w:num w:numId="4" w16cid:durableId="1608736033">
    <w:abstractNumId w:val="30"/>
  </w:num>
  <w:num w:numId="5" w16cid:durableId="1351296968">
    <w:abstractNumId w:val="20"/>
  </w:num>
  <w:num w:numId="6" w16cid:durableId="413014963">
    <w:abstractNumId w:val="36"/>
  </w:num>
  <w:num w:numId="7" w16cid:durableId="353962693">
    <w:abstractNumId w:val="22"/>
  </w:num>
  <w:num w:numId="8" w16cid:durableId="451293173">
    <w:abstractNumId w:val="29"/>
  </w:num>
  <w:num w:numId="9" w16cid:durableId="1208495390">
    <w:abstractNumId w:val="4"/>
  </w:num>
  <w:num w:numId="10" w16cid:durableId="1320768273">
    <w:abstractNumId w:val="21"/>
  </w:num>
  <w:num w:numId="11" w16cid:durableId="1167983105">
    <w:abstractNumId w:val="14"/>
  </w:num>
  <w:num w:numId="12" w16cid:durableId="325016421">
    <w:abstractNumId w:val="6"/>
  </w:num>
  <w:num w:numId="13" w16cid:durableId="1502235701">
    <w:abstractNumId w:val="38"/>
  </w:num>
  <w:num w:numId="14" w16cid:durableId="318733645">
    <w:abstractNumId w:val="12"/>
  </w:num>
  <w:num w:numId="15" w16cid:durableId="1277636286">
    <w:abstractNumId w:val="15"/>
  </w:num>
  <w:num w:numId="16" w16cid:durableId="2130783986">
    <w:abstractNumId w:val="26"/>
  </w:num>
  <w:num w:numId="17" w16cid:durableId="1346592902">
    <w:abstractNumId w:val="41"/>
  </w:num>
  <w:num w:numId="18" w16cid:durableId="827097037">
    <w:abstractNumId w:val="27"/>
  </w:num>
  <w:num w:numId="19" w16cid:durableId="530070096">
    <w:abstractNumId w:val="40"/>
  </w:num>
  <w:num w:numId="20" w16cid:durableId="391395051">
    <w:abstractNumId w:val="25"/>
  </w:num>
  <w:num w:numId="21" w16cid:durableId="1483422916">
    <w:abstractNumId w:val="23"/>
  </w:num>
  <w:num w:numId="22" w16cid:durableId="1804156313">
    <w:abstractNumId w:val="39"/>
  </w:num>
  <w:num w:numId="23" w16cid:durableId="1535537317">
    <w:abstractNumId w:val="1"/>
  </w:num>
  <w:num w:numId="24" w16cid:durableId="515769432">
    <w:abstractNumId w:val="30"/>
  </w:num>
  <w:num w:numId="25" w16cid:durableId="40518390">
    <w:abstractNumId w:val="30"/>
  </w:num>
  <w:num w:numId="26" w16cid:durableId="653029194">
    <w:abstractNumId w:val="30"/>
  </w:num>
  <w:num w:numId="27" w16cid:durableId="1718120103">
    <w:abstractNumId w:val="18"/>
  </w:num>
  <w:num w:numId="28" w16cid:durableId="156774303">
    <w:abstractNumId w:val="5"/>
  </w:num>
  <w:num w:numId="29" w16cid:durableId="2005354462">
    <w:abstractNumId w:val="30"/>
  </w:num>
  <w:num w:numId="30" w16cid:durableId="1270044604">
    <w:abstractNumId w:val="30"/>
  </w:num>
  <w:num w:numId="31" w16cid:durableId="1064177485">
    <w:abstractNumId w:val="30"/>
  </w:num>
  <w:num w:numId="32" w16cid:durableId="345907580">
    <w:abstractNumId w:val="30"/>
  </w:num>
  <w:num w:numId="33" w16cid:durableId="1113860807">
    <w:abstractNumId w:val="30"/>
  </w:num>
  <w:num w:numId="34" w16cid:durableId="1579168850">
    <w:abstractNumId w:val="30"/>
  </w:num>
  <w:num w:numId="35" w16cid:durableId="951664631">
    <w:abstractNumId w:val="17"/>
  </w:num>
  <w:num w:numId="36" w16cid:durableId="844637585">
    <w:abstractNumId w:val="30"/>
  </w:num>
  <w:num w:numId="37" w16cid:durableId="1205019878">
    <w:abstractNumId w:val="30"/>
  </w:num>
  <w:num w:numId="38" w16cid:durableId="1630816106">
    <w:abstractNumId w:val="33"/>
  </w:num>
  <w:num w:numId="39" w16cid:durableId="453328376">
    <w:abstractNumId w:val="30"/>
  </w:num>
  <w:num w:numId="40" w16cid:durableId="229118155">
    <w:abstractNumId w:val="3"/>
  </w:num>
  <w:num w:numId="41" w16cid:durableId="1290012117">
    <w:abstractNumId w:val="16"/>
  </w:num>
  <w:num w:numId="42" w16cid:durableId="241646838">
    <w:abstractNumId w:val="42"/>
  </w:num>
  <w:num w:numId="43" w16cid:durableId="1261184128">
    <w:abstractNumId w:val="30"/>
  </w:num>
  <w:num w:numId="44" w16cid:durableId="1143426926">
    <w:abstractNumId w:val="30"/>
  </w:num>
  <w:num w:numId="45" w16cid:durableId="766659915">
    <w:abstractNumId w:val="30"/>
  </w:num>
  <w:num w:numId="46" w16cid:durableId="1825974068">
    <w:abstractNumId w:val="38"/>
    <w:lvlOverride w:ilvl="0">
      <w:startOverride w:val="1"/>
    </w:lvlOverride>
  </w:num>
  <w:num w:numId="47" w16cid:durableId="1062482943">
    <w:abstractNumId w:val="30"/>
  </w:num>
  <w:num w:numId="48" w16cid:durableId="281695917">
    <w:abstractNumId w:val="30"/>
  </w:num>
  <w:num w:numId="49" w16cid:durableId="882903330">
    <w:abstractNumId w:val="30"/>
  </w:num>
  <w:num w:numId="50" w16cid:durableId="1624379958">
    <w:abstractNumId w:val="30"/>
  </w:num>
  <w:num w:numId="51" w16cid:durableId="1551959312">
    <w:abstractNumId w:val="30"/>
  </w:num>
  <w:num w:numId="52" w16cid:durableId="2107845754">
    <w:abstractNumId w:val="30"/>
  </w:num>
  <w:num w:numId="53" w16cid:durableId="746343949">
    <w:abstractNumId w:val="30"/>
  </w:num>
  <w:num w:numId="54" w16cid:durableId="1711804650">
    <w:abstractNumId w:val="30"/>
  </w:num>
  <w:num w:numId="55" w16cid:durableId="2001274723">
    <w:abstractNumId w:val="30"/>
  </w:num>
  <w:num w:numId="56" w16cid:durableId="535511522">
    <w:abstractNumId w:val="30"/>
  </w:num>
  <w:num w:numId="57" w16cid:durableId="138500071">
    <w:abstractNumId w:val="30"/>
  </w:num>
  <w:num w:numId="58" w16cid:durableId="2076050962">
    <w:abstractNumId w:val="31"/>
  </w:num>
  <w:num w:numId="59" w16cid:durableId="1317492467">
    <w:abstractNumId w:val="10"/>
  </w:num>
  <w:num w:numId="60" w16cid:durableId="211158845">
    <w:abstractNumId w:val="9"/>
  </w:num>
  <w:num w:numId="61" w16cid:durableId="1239094012">
    <w:abstractNumId w:val="2"/>
  </w:num>
  <w:num w:numId="62" w16cid:durableId="19624667">
    <w:abstractNumId w:val="7"/>
  </w:num>
  <w:num w:numId="63" w16cid:durableId="1366560567">
    <w:abstractNumId w:val="13"/>
  </w:num>
  <w:num w:numId="64" w16cid:durableId="1363936571">
    <w:abstractNumId w:val="0"/>
  </w:num>
  <w:num w:numId="65" w16cid:durableId="2009366020">
    <w:abstractNumId w:val="8"/>
  </w:num>
  <w:num w:numId="66" w16cid:durableId="1981223342">
    <w:abstractNumId w:val="24"/>
  </w:num>
  <w:num w:numId="67" w16cid:durableId="1434010809">
    <w:abstractNumId w:val="35"/>
  </w:num>
  <w:num w:numId="68" w16cid:durableId="344283132">
    <w:abstractNumId w:val="32"/>
  </w:num>
  <w:num w:numId="69" w16cid:durableId="880826373">
    <w:abstractNumId w:val="11"/>
  </w:num>
  <w:num w:numId="70" w16cid:durableId="1112020096">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intFractionalCharacterWidth/>
  <w:bordersDoNotSurroundHeader/>
  <w:bordersDoNotSurroundFooter/>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OECDDocumentId" w:val="BF41F05FB613F72EB7094098ECB42F184D06AF9E77EC041BBCB612FCC3904B32"/>
  </w:docVars>
  <w:rsids>
    <w:rsidRoot w:val="004A6135"/>
    <w:rsid w:val="000004B0"/>
    <w:rsid w:val="00000740"/>
    <w:rsid w:val="00000C09"/>
    <w:rsid w:val="00001194"/>
    <w:rsid w:val="00001322"/>
    <w:rsid w:val="00001C5E"/>
    <w:rsid w:val="000025A2"/>
    <w:rsid w:val="00002650"/>
    <w:rsid w:val="00002851"/>
    <w:rsid w:val="000028A3"/>
    <w:rsid w:val="00002ED0"/>
    <w:rsid w:val="0000316E"/>
    <w:rsid w:val="00003680"/>
    <w:rsid w:val="00003809"/>
    <w:rsid w:val="000039AB"/>
    <w:rsid w:val="00003AB9"/>
    <w:rsid w:val="00003C9B"/>
    <w:rsid w:val="00003E02"/>
    <w:rsid w:val="00003F6C"/>
    <w:rsid w:val="00004031"/>
    <w:rsid w:val="0000420B"/>
    <w:rsid w:val="00004459"/>
    <w:rsid w:val="00004617"/>
    <w:rsid w:val="00005100"/>
    <w:rsid w:val="0000590B"/>
    <w:rsid w:val="000067C9"/>
    <w:rsid w:val="00007536"/>
    <w:rsid w:val="000078F8"/>
    <w:rsid w:val="00007CB9"/>
    <w:rsid w:val="00007DEA"/>
    <w:rsid w:val="0001044D"/>
    <w:rsid w:val="00010BAF"/>
    <w:rsid w:val="00010D61"/>
    <w:rsid w:val="00010E29"/>
    <w:rsid w:val="0001120D"/>
    <w:rsid w:val="000114FB"/>
    <w:rsid w:val="00011E86"/>
    <w:rsid w:val="000123FF"/>
    <w:rsid w:val="00012671"/>
    <w:rsid w:val="00012881"/>
    <w:rsid w:val="00012B54"/>
    <w:rsid w:val="0001338B"/>
    <w:rsid w:val="000136A2"/>
    <w:rsid w:val="00013D70"/>
    <w:rsid w:val="00013ED8"/>
    <w:rsid w:val="000146C3"/>
    <w:rsid w:val="000147C0"/>
    <w:rsid w:val="00014F61"/>
    <w:rsid w:val="000153C4"/>
    <w:rsid w:val="00015753"/>
    <w:rsid w:val="000158EF"/>
    <w:rsid w:val="00015A43"/>
    <w:rsid w:val="00016401"/>
    <w:rsid w:val="000170ED"/>
    <w:rsid w:val="0001737F"/>
    <w:rsid w:val="000177C6"/>
    <w:rsid w:val="00017848"/>
    <w:rsid w:val="00017962"/>
    <w:rsid w:val="000179B0"/>
    <w:rsid w:val="00017AAE"/>
    <w:rsid w:val="00017B87"/>
    <w:rsid w:val="00017E1D"/>
    <w:rsid w:val="0002009D"/>
    <w:rsid w:val="000208FE"/>
    <w:rsid w:val="00020D0A"/>
    <w:rsid w:val="00020DD7"/>
    <w:rsid w:val="0002123A"/>
    <w:rsid w:val="0002123F"/>
    <w:rsid w:val="00021322"/>
    <w:rsid w:val="0002133B"/>
    <w:rsid w:val="00021662"/>
    <w:rsid w:val="00021922"/>
    <w:rsid w:val="00021B17"/>
    <w:rsid w:val="00022066"/>
    <w:rsid w:val="00022512"/>
    <w:rsid w:val="00022623"/>
    <w:rsid w:val="0002264B"/>
    <w:rsid w:val="0002277B"/>
    <w:rsid w:val="00022D0D"/>
    <w:rsid w:val="00023906"/>
    <w:rsid w:val="00023AEF"/>
    <w:rsid w:val="00023B06"/>
    <w:rsid w:val="00023C03"/>
    <w:rsid w:val="00023D54"/>
    <w:rsid w:val="0002413D"/>
    <w:rsid w:val="000243CD"/>
    <w:rsid w:val="00024404"/>
    <w:rsid w:val="000244FA"/>
    <w:rsid w:val="000245F5"/>
    <w:rsid w:val="00024A37"/>
    <w:rsid w:val="00025127"/>
    <w:rsid w:val="000253B5"/>
    <w:rsid w:val="0002595D"/>
    <w:rsid w:val="00025C62"/>
    <w:rsid w:val="00025CC1"/>
    <w:rsid w:val="00026732"/>
    <w:rsid w:val="0002684B"/>
    <w:rsid w:val="00026C5F"/>
    <w:rsid w:val="00026C75"/>
    <w:rsid w:val="00026ECC"/>
    <w:rsid w:val="000275AF"/>
    <w:rsid w:val="000277AA"/>
    <w:rsid w:val="00027926"/>
    <w:rsid w:val="00027BBB"/>
    <w:rsid w:val="00027C1D"/>
    <w:rsid w:val="000303A1"/>
    <w:rsid w:val="00030C32"/>
    <w:rsid w:val="00030C92"/>
    <w:rsid w:val="00030F13"/>
    <w:rsid w:val="00031416"/>
    <w:rsid w:val="0003145C"/>
    <w:rsid w:val="00031463"/>
    <w:rsid w:val="00031DEE"/>
    <w:rsid w:val="00032652"/>
    <w:rsid w:val="000333FD"/>
    <w:rsid w:val="0003343A"/>
    <w:rsid w:val="000336D5"/>
    <w:rsid w:val="00034112"/>
    <w:rsid w:val="00034295"/>
    <w:rsid w:val="000342D9"/>
    <w:rsid w:val="000346B4"/>
    <w:rsid w:val="00035109"/>
    <w:rsid w:val="0003565A"/>
    <w:rsid w:val="00035B8C"/>
    <w:rsid w:val="000361C5"/>
    <w:rsid w:val="0003633F"/>
    <w:rsid w:val="0003642B"/>
    <w:rsid w:val="000366B2"/>
    <w:rsid w:val="000372EC"/>
    <w:rsid w:val="00037EFE"/>
    <w:rsid w:val="000407F6"/>
    <w:rsid w:val="0004088B"/>
    <w:rsid w:val="00040913"/>
    <w:rsid w:val="00040FD8"/>
    <w:rsid w:val="000414CA"/>
    <w:rsid w:val="000416A9"/>
    <w:rsid w:val="0004189F"/>
    <w:rsid w:val="00041906"/>
    <w:rsid w:val="00041E2F"/>
    <w:rsid w:val="0004270D"/>
    <w:rsid w:val="000429F0"/>
    <w:rsid w:val="00042C53"/>
    <w:rsid w:val="00042F4D"/>
    <w:rsid w:val="0004321A"/>
    <w:rsid w:val="000439A8"/>
    <w:rsid w:val="0004538C"/>
    <w:rsid w:val="00045541"/>
    <w:rsid w:val="00045A7C"/>
    <w:rsid w:val="00045A8C"/>
    <w:rsid w:val="00045D68"/>
    <w:rsid w:val="00045E67"/>
    <w:rsid w:val="00046422"/>
    <w:rsid w:val="00046B79"/>
    <w:rsid w:val="000473CF"/>
    <w:rsid w:val="0005031A"/>
    <w:rsid w:val="000506C7"/>
    <w:rsid w:val="00050754"/>
    <w:rsid w:val="00051268"/>
    <w:rsid w:val="000515A3"/>
    <w:rsid w:val="00051771"/>
    <w:rsid w:val="00051A0C"/>
    <w:rsid w:val="00051BB3"/>
    <w:rsid w:val="00051E96"/>
    <w:rsid w:val="00051F1F"/>
    <w:rsid w:val="000523BF"/>
    <w:rsid w:val="00052BDD"/>
    <w:rsid w:val="00053085"/>
    <w:rsid w:val="00053333"/>
    <w:rsid w:val="000536C0"/>
    <w:rsid w:val="0005373E"/>
    <w:rsid w:val="000542FD"/>
    <w:rsid w:val="00055D0D"/>
    <w:rsid w:val="00055E00"/>
    <w:rsid w:val="00056273"/>
    <w:rsid w:val="00056525"/>
    <w:rsid w:val="0005757B"/>
    <w:rsid w:val="00057772"/>
    <w:rsid w:val="00060211"/>
    <w:rsid w:val="000605A8"/>
    <w:rsid w:val="000606B5"/>
    <w:rsid w:val="00060CE3"/>
    <w:rsid w:val="000611B6"/>
    <w:rsid w:val="0006125B"/>
    <w:rsid w:val="0006125C"/>
    <w:rsid w:val="00061C49"/>
    <w:rsid w:val="00061D91"/>
    <w:rsid w:val="000625EB"/>
    <w:rsid w:val="0006301B"/>
    <w:rsid w:val="0006376A"/>
    <w:rsid w:val="00064132"/>
    <w:rsid w:val="0006429A"/>
    <w:rsid w:val="000643C4"/>
    <w:rsid w:val="00064589"/>
    <w:rsid w:val="000646A9"/>
    <w:rsid w:val="00064D33"/>
    <w:rsid w:val="00065331"/>
    <w:rsid w:val="00065AEA"/>
    <w:rsid w:val="000660EC"/>
    <w:rsid w:val="000660F8"/>
    <w:rsid w:val="00067399"/>
    <w:rsid w:val="0006778F"/>
    <w:rsid w:val="00067A42"/>
    <w:rsid w:val="0007041B"/>
    <w:rsid w:val="00070893"/>
    <w:rsid w:val="00070FB0"/>
    <w:rsid w:val="0007122D"/>
    <w:rsid w:val="0007126C"/>
    <w:rsid w:val="00071ACC"/>
    <w:rsid w:val="00072236"/>
    <w:rsid w:val="00072334"/>
    <w:rsid w:val="00072412"/>
    <w:rsid w:val="0007272A"/>
    <w:rsid w:val="000734EA"/>
    <w:rsid w:val="000739AA"/>
    <w:rsid w:val="00074223"/>
    <w:rsid w:val="00074237"/>
    <w:rsid w:val="00074694"/>
    <w:rsid w:val="000748FA"/>
    <w:rsid w:val="00074D10"/>
    <w:rsid w:val="00075158"/>
    <w:rsid w:val="00075187"/>
    <w:rsid w:val="000752CE"/>
    <w:rsid w:val="0007530F"/>
    <w:rsid w:val="00075464"/>
    <w:rsid w:val="0007586E"/>
    <w:rsid w:val="00076BB6"/>
    <w:rsid w:val="00076E1E"/>
    <w:rsid w:val="000771AC"/>
    <w:rsid w:val="000778BB"/>
    <w:rsid w:val="00077CDE"/>
    <w:rsid w:val="00080374"/>
    <w:rsid w:val="00080C5E"/>
    <w:rsid w:val="00081217"/>
    <w:rsid w:val="00082141"/>
    <w:rsid w:val="00082660"/>
    <w:rsid w:val="000828BC"/>
    <w:rsid w:val="00082AAC"/>
    <w:rsid w:val="00082E76"/>
    <w:rsid w:val="00082F13"/>
    <w:rsid w:val="00083440"/>
    <w:rsid w:val="0008346E"/>
    <w:rsid w:val="0008364F"/>
    <w:rsid w:val="00083874"/>
    <w:rsid w:val="00083A71"/>
    <w:rsid w:val="00083A7F"/>
    <w:rsid w:val="00083D5D"/>
    <w:rsid w:val="00084340"/>
    <w:rsid w:val="0008481C"/>
    <w:rsid w:val="00084A0D"/>
    <w:rsid w:val="00084B82"/>
    <w:rsid w:val="00084CA2"/>
    <w:rsid w:val="00084DF2"/>
    <w:rsid w:val="00085CCD"/>
    <w:rsid w:val="00085E34"/>
    <w:rsid w:val="00086378"/>
    <w:rsid w:val="00086D85"/>
    <w:rsid w:val="00087A81"/>
    <w:rsid w:val="00087FC3"/>
    <w:rsid w:val="000903A5"/>
    <w:rsid w:val="0009076B"/>
    <w:rsid w:val="00090A57"/>
    <w:rsid w:val="00090C4F"/>
    <w:rsid w:val="000911EB"/>
    <w:rsid w:val="0009158F"/>
    <w:rsid w:val="00091EE3"/>
    <w:rsid w:val="0009216A"/>
    <w:rsid w:val="000924E8"/>
    <w:rsid w:val="0009346B"/>
    <w:rsid w:val="000936CC"/>
    <w:rsid w:val="00093CED"/>
    <w:rsid w:val="00093D75"/>
    <w:rsid w:val="000945E1"/>
    <w:rsid w:val="00094860"/>
    <w:rsid w:val="00094A37"/>
    <w:rsid w:val="000950C0"/>
    <w:rsid w:val="00095379"/>
    <w:rsid w:val="000957F8"/>
    <w:rsid w:val="00095C75"/>
    <w:rsid w:val="00095D92"/>
    <w:rsid w:val="00095EEB"/>
    <w:rsid w:val="00095F76"/>
    <w:rsid w:val="00096348"/>
    <w:rsid w:val="000972BD"/>
    <w:rsid w:val="000975BA"/>
    <w:rsid w:val="000A052C"/>
    <w:rsid w:val="000A1816"/>
    <w:rsid w:val="000A185D"/>
    <w:rsid w:val="000A20C8"/>
    <w:rsid w:val="000A29AD"/>
    <w:rsid w:val="000A2AE8"/>
    <w:rsid w:val="000A2B85"/>
    <w:rsid w:val="000A2D30"/>
    <w:rsid w:val="000A3192"/>
    <w:rsid w:val="000A36C9"/>
    <w:rsid w:val="000A377D"/>
    <w:rsid w:val="000A4A10"/>
    <w:rsid w:val="000A5047"/>
    <w:rsid w:val="000A58C1"/>
    <w:rsid w:val="000A5E47"/>
    <w:rsid w:val="000A5FCC"/>
    <w:rsid w:val="000A6142"/>
    <w:rsid w:val="000A615B"/>
    <w:rsid w:val="000A69D7"/>
    <w:rsid w:val="000A6EC7"/>
    <w:rsid w:val="000A73A4"/>
    <w:rsid w:val="000A772C"/>
    <w:rsid w:val="000A7802"/>
    <w:rsid w:val="000A7974"/>
    <w:rsid w:val="000B04A6"/>
    <w:rsid w:val="000B06FF"/>
    <w:rsid w:val="000B0A80"/>
    <w:rsid w:val="000B1A75"/>
    <w:rsid w:val="000B1A81"/>
    <w:rsid w:val="000B2170"/>
    <w:rsid w:val="000B2377"/>
    <w:rsid w:val="000B27A2"/>
    <w:rsid w:val="000B3148"/>
    <w:rsid w:val="000B3B75"/>
    <w:rsid w:val="000B3F4D"/>
    <w:rsid w:val="000B4E11"/>
    <w:rsid w:val="000B5362"/>
    <w:rsid w:val="000B548C"/>
    <w:rsid w:val="000B5758"/>
    <w:rsid w:val="000B5F8F"/>
    <w:rsid w:val="000B73C2"/>
    <w:rsid w:val="000B78A0"/>
    <w:rsid w:val="000B7E27"/>
    <w:rsid w:val="000B7E48"/>
    <w:rsid w:val="000B7F25"/>
    <w:rsid w:val="000C033B"/>
    <w:rsid w:val="000C0F70"/>
    <w:rsid w:val="000C133B"/>
    <w:rsid w:val="000C1A44"/>
    <w:rsid w:val="000C1C3E"/>
    <w:rsid w:val="000C1CD2"/>
    <w:rsid w:val="000C2392"/>
    <w:rsid w:val="000C2584"/>
    <w:rsid w:val="000C2C60"/>
    <w:rsid w:val="000C2D15"/>
    <w:rsid w:val="000C3362"/>
    <w:rsid w:val="000C35BD"/>
    <w:rsid w:val="000C4BC2"/>
    <w:rsid w:val="000C4EA3"/>
    <w:rsid w:val="000C510F"/>
    <w:rsid w:val="000C5780"/>
    <w:rsid w:val="000C5C99"/>
    <w:rsid w:val="000C5D6E"/>
    <w:rsid w:val="000C5DB8"/>
    <w:rsid w:val="000C6372"/>
    <w:rsid w:val="000C6399"/>
    <w:rsid w:val="000C696B"/>
    <w:rsid w:val="000C6BCE"/>
    <w:rsid w:val="000C758F"/>
    <w:rsid w:val="000C76C4"/>
    <w:rsid w:val="000C7BB4"/>
    <w:rsid w:val="000C7E4D"/>
    <w:rsid w:val="000C7FF6"/>
    <w:rsid w:val="000D0087"/>
    <w:rsid w:val="000D0419"/>
    <w:rsid w:val="000D0D45"/>
    <w:rsid w:val="000D1214"/>
    <w:rsid w:val="000D15A8"/>
    <w:rsid w:val="000D1978"/>
    <w:rsid w:val="000D1990"/>
    <w:rsid w:val="000D2543"/>
    <w:rsid w:val="000D2651"/>
    <w:rsid w:val="000D27FF"/>
    <w:rsid w:val="000D28C8"/>
    <w:rsid w:val="000D2D3D"/>
    <w:rsid w:val="000D3348"/>
    <w:rsid w:val="000D3B3D"/>
    <w:rsid w:val="000D3BE1"/>
    <w:rsid w:val="000D3C60"/>
    <w:rsid w:val="000D3E41"/>
    <w:rsid w:val="000D3EFA"/>
    <w:rsid w:val="000D4475"/>
    <w:rsid w:val="000D4E1D"/>
    <w:rsid w:val="000D5832"/>
    <w:rsid w:val="000D658D"/>
    <w:rsid w:val="000D6BD4"/>
    <w:rsid w:val="000D6D89"/>
    <w:rsid w:val="000D6EC5"/>
    <w:rsid w:val="000D6EDB"/>
    <w:rsid w:val="000D6FCB"/>
    <w:rsid w:val="000D72F5"/>
    <w:rsid w:val="000D7937"/>
    <w:rsid w:val="000E0076"/>
    <w:rsid w:val="000E009E"/>
    <w:rsid w:val="000E02EB"/>
    <w:rsid w:val="000E08FC"/>
    <w:rsid w:val="000E11FD"/>
    <w:rsid w:val="000E163A"/>
    <w:rsid w:val="000E22EE"/>
    <w:rsid w:val="000E2333"/>
    <w:rsid w:val="000E235D"/>
    <w:rsid w:val="000E27D8"/>
    <w:rsid w:val="000E2E1F"/>
    <w:rsid w:val="000E2F24"/>
    <w:rsid w:val="000E357E"/>
    <w:rsid w:val="000E397B"/>
    <w:rsid w:val="000E39F4"/>
    <w:rsid w:val="000E4BBA"/>
    <w:rsid w:val="000E4D56"/>
    <w:rsid w:val="000E5CD4"/>
    <w:rsid w:val="000E5E14"/>
    <w:rsid w:val="000E6057"/>
    <w:rsid w:val="000E65DA"/>
    <w:rsid w:val="000E6EEE"/>
    <w:rsid w:val="000E6F98"/>
    <w:rsid w:val="000E700A"/>
    <w:rsid w:val="000E73F0"/>
    <w:rsid w:val="000F04B3"/>
    <w:rsid w:val="000F0A2B"/>
    <w:rsid w:val="000F0EB4"/>
    <w:rsid w:val="000F0F31"/>
    <w:rsid w:val="000F1079"/>
    <w:rsid w:val="000F162B"/>
    <w:rsid w:val="000F2049"/>
    <w:rsid w:val="000F2898"/>
    <w:rsid w:val="000F28FB"/>
    <w:rsid w:val="000F29DE"/>
    <w:rsid w:val="000F3026"/>
    <w:rsid w:val="000F3111"/>
    <w:rsid w:val="000F367A"/>
    <w:rsid w:val="000F39EE"/>
    <w:rsid w:val="000F3D32"/>
    <w:rsid w:val="000F42F7"/>
    <w:rsid w:val="000F470E"/>
    <w:rsid w:val="000F4814"/>
    <w:rsid w:val="000F538F"/>
    <w:rsid w:val="000F5765"/>
    <w:rsid w:val="000F5854"/>
    <w:rsid w:val="000F5AF3"/>
    <w:rsid w:val="000F6115"/>
    <w:rsid w:val="000F6127"/>
    <w:rsid w:val="000F67F1"/>
    <w:rsid w:val="000F691F"/>
    <w:rsid w:val="000F6F45"/>
    <w:rsid w:val="000F77E9"/>
    <w:rsid w:val="000F7CB9"/>
    <w:rsid w:val="000F7F6E"/>
    <w:rsid w:val="00100409"/>
    <w:rsid w:val="00100850"/>
    <w:rsid w:val="00100B76"/>
    <w:rsid w:val="001011F2"/>
    <w:rsid w:val="00101548"/>
    <w:rsid w:val="001016EA"/>
    <w:rsid w:val="00101904"/>
    <w:rsid w:val="00101E3B"/>
    <w:rsid w:val="00102735"/>
    <w:rsid w:val="00102B2F"/>
    <w:rsid w:val="0010385D"/>
    <w:rsid w:val="0010466C"/>
    <w:rsid w:val="00104990"/>
    <w:rsid w:val="00104CC4"/>
    <w:rsid w:val="00104D3F"/>
    <w:rsid w:val="00104EC1"/>
    <w:rsid w:val="00104F70"/>
    <w:rsid w:val="0010507C"/>
    <w:rsid w:val="0010521D"/>
    <w:rsid w:val="00105299"/>
    <w:rsid w:val="001061B1"/>
    <w:rsid w:val="00106D5A"/>
    <w:rsid w:val="0010736D"/>
    <w:rsid w:val="001073D8"/>
    <w:rsid w:val="00110114"/>
    <w:rsid w:val="0011050B"/>
    <w:rsid w:val="00110A99"/>
    <w:rsid w:val="00111196"/>
    <w:rsid w:val="00111528"/>
    <w:rsid w:val="00111551"/>
    <w:rsid w:val="001115D7"/>
    <w:rsid w:val="00111617"/>
    <w:rsid w:val="00111693"/>
    <w:rsid w:val="0011228E"/>
    <w:rsid w:val="00113354"/>
    <w:rsid w:val="00113706"/>
    <w:rsid w:val="001148A3"/>
    <w:rsid w:val="00114B3E"/>
    <w:rsid w:val="001156A7"/>
    <w:rsid w:val="00115ACC"/>
    <w:rsid w:val="00115B68"/>
    <w:rsid w:val="00116328"/>
    <w:rsid w:val="001163D9"/>
    <w:rsid w:val="001167BB"/>
    <w:rsid w:val="00116A52"/>
    <w:rsid w:val="0011734B"/>
    <w:rsid w:val="00117455"/>
    <w:rsid w:val="0011795C"/>
    <w:rsid w:val="0012029C"/>
    <w:rsid w:val="00121C15"/>
    <w:rsid w:val="00122B17"/>
    <w:rsid w:val="00122CDF"/>
    <w:rsid w:val="0012303F"/>
    <w:rsid w:val="001242A6"/>
    <w:rsid w:val="00124EFF"/>
    <w:rsid w:val="00124FCD"/>
    <w:rsid w:val="0012508F"/>
    <w:rsid w:val="0012548D"/>
    <w:rsid w:val="0012567C"/>
    <w:rsid w:val="00125D73"/>
    <w:rsid w:val="0012617A"/>
    <w:rsid w:val="00126264"/>
    <w:rsid w:val="0012639E"/>
    <w:rsid w:val="00126672"/>
    <w:rsid w:val="001267ED"/>
    <w:rsid w:val="001268B8"/>
    <w:rsid w:val="001268D5"/>
    <w:rsid w:val="00126CB4"/>
    <w:rsid w:val="001270A7"/>
    <w:rsid w:val="00127271"/>
    <w:rsid w:val="001304DE"/>
    <w:rsid w:val="00130530"/>
    <w:rsid w:val="00130637"/>
    <w:rsid w:val="00130B74"/>
    <w:rsid w:val="00130F20"/>
    <w:rsid w:val="001314A1"/>
    <w:rsid w:val="00131566"/>
    <w:rsid w:val="001319C0"/>
    <w:rsid w:val="00131ABC"/>
    <w:rsid w:val="00131BFF"/>
    <w:rsid w:val="00132546"/>
    <w:rsid w:val="001326A6"/>
    <w:rsid w:val="00132B80"/>
    <w:rsid w:val="001335A9"/>
    <w:rsid w:val="00133CEB"/>
    <w:rsid w:val="00133CFE"/>
    <w:rsid w:val="00134081"/>
    <w:rsid w:val="00134454"/>
    <w:rsid w:val="00134C2C"/>
    <w:rsid w:val="00134D28"/>
    <w:rsid w:val="001350BB"/>
    <w:rsid w:val="001353EF"/>
    <w:rsid w:val="00135A1B"/>
    <w:rsid w:val="00136277"/>
    <w:rsid w:val="001362FE"/>
    <w:rsid w:val="00136EE8"/>
    <w:rsid w:val="00137353"/>
    <w:rsid w:val="00137FEF"/>
    <w:rsid w:val="00140100"/>
    <w:rsid w:val="00140397"/>
    <w:rsid w:val="001404BD"/>
    <w:rsid w:val="00140EE6"/>
    <w:rsid w:val="0014127B"/>
    <w:rsid w:val="001413D9"/>
    <w:rsid w:val="00141914"/>
    <w:rsid w:val="00141C1D"/>
    <w:rsid w:val="00141EF1"/>
    <w:rsid w:val="001420BA"/>
    <w:rsid w:val="00142460"/>
    <w:rsid w:val="0014299D"/>
    <w:rsid w:val="00142B9F"/>
    <w:rsid w:val="00143113"/>
    <w:rsid w:val="0014357A"/>
    <w:rsid w:val="00143679"/>
    <w:rsid w:val="0014388F"/>
    <w:rsid w:val="00143896"/>
    <w:rsid w:val="001438E3"/>
    <w:rsid w:val="00143A4D"/>
    <w:rsid w:val="00143D1C"/>
    <w:rsid w:val="00143FD2"/>
    <w:rsid w:val="0014435D"/>
    <w:rsid w:val="0014459F"/>
    <w:rsid w:val="0014473B"/>
    <w:rsid w:val="00145704"/>
    <w:rsid w:val="0014617A"/>
    <w:rsid w:val="001462B0"/>
    <w:rsid w:val="001469AA"/>
    <w:rsid w:val="00146C24"/>
    <w:rsid w:val="00146CF1"/>
    <w:rsid w:val="00147915"/>
    <w:rsid w:val="001479C1"/>
    <w:rsid w:val="00147CC1"/>
    <w:rsid w:val="0015015F"/>
    <w:rsid w:val="001505A4"/>
    <w:rsid w:val="00150797"/>
    <w:rsid w:val="001508E2"/>
    <w:rsid w:val="00150955"/>
    <w:rsid w:val="00150B4E"/>
    <w:rsid w:val="00150C7E"/>
    <w:rsid w:val="00151638"/>
    <w:rsid w:val="00151EE9"/>
    <w:rsid w:val="00152100"/>
    <w:rsid w:val="00152202"/>
    <w:rsid w:val="001523A9"/>
    <w:rsid w:val="00152521"/>
    <w:rsid w:val="00152A7C"/>
    <w:rsid w:val="00152CCF"/>
    <w:rsid w:val="00153C49"/>
    <w:rsid w:val="00153EAB"/>
    <w:rsid w:val="001543A9"/>
    <w:rsid w:val="0015475D"/>
    <w:rsid w:val="00154B54"/>
    <w:rsid w:val="00155E12"/>
    <w:rsid w:val="00156590"/>
    <w:rsid w:val="001565FA"/>
    <w:rsid w:val="00156AB4"/>
    <w:rsid w:val="00157250"/>
    <w:rsid w:val="00157641"/>
    <w:rsid w:val="001576F4"/>
    <w:rsid w:val="00157C42"/>
    <w:rsid w:val="00157DEF"/>
    <w:rsid w:val="00160159"/>
    <w:rsid w:val="00160266"/>
    <w:rsid w:val="00160369"/>
    <w:rsid w:val="00160413"/>
    <w:rsid w:val="00160525"/>
    <w:rsid w:val="001608CC"/>
    <w:rsid w:val="00160EA4"/>
    <w:rsid w:val="00161230"/>
    <w:rsid w:val="001612AB"/>
    <w:rsid w:val="001614D7"/>
    <w:rsid w:val="00161626"/>
    <w:rsid w:val="00161A39"/>
    <w:rsid w:val="00161AAA"/>
    <w:rsid w:val="00162230"/>
    <w:rsid w:val="00162431"/>
    <w:rsid w:val="00162C41"/>
    <w:rsid w:val="001632E2"/>
    <w:rsid w:val="001634BE"/>
    <w:rsid w:val="00163933"/>
    <w:rsid w:val="00163C97"/>
    <w:rsid w:val="001640AF"/>
    <w:rsid w:val="00164D76"/>
    <w:rsid w:val="0016557E"/>
    <w:rsid w:val="001656E4"/>
    <w:rsid w:val="00165876"/>
    <w:rsid w:val="00165A3A"/>
    <w:rsid w:val="00165C15"/>
    <w:rsid w:val="00165FAD"/>
    <w:rsid w:val="001660A9"/>
    <w:rsid w:val="00166647"/>
    <w:rsid w:val="001668BD"/>
    <w:rsid w:val="00166956"/>
    <w:rsid w:val="00166C66"/>
    <w:rsid w:val="00166C75"/>
    <w:rsid w:val="00167035"/>
    <w:rsid w:val="00167570"/>
    <w:rsid w:val="001677F5"/>
    <w:rsid w:val="001678D6"/>
    <w:rsid w:val="00167DDF"/>
    <w:rsid w:val="0017009B"/>
    <w:rsid w:val="0017059D"/>
    <w:rsid w:val="0017066E"/>
    <w:rsid w:val="001706D6"/>
    <w:rsid w:val="00170887"/>
    <w:rsid w:val="00170BFE"/>
    <w:rsid w:val="00170D71"/>
    <w:rsid w:val="00170F1F"/>
    <w:rsid w:val="001718A0"/>
    <w:rsid w:val="00171F77"/>
    <w:rsid w:val="00172350"/>
    <w:rsid w:val="001727D5"/>
    <w:rsid w:val="00172865"/>
    <w:rsid w:val="001738D7"/>
    <w:rsid w:val="00173A44"/>
    <w:rsid w:val="00173DF4"/>
    <w:rsid w:val="001745C4"/>
    <w:rsid w:val="00174A4C"/>
    <w:rsid w:val="00174A79"/>
    <w:rsid w:val="00174C64"/>
    <w:rsid w:val="0017530F"/>
    <w:rsid w:val="001760CE"/>
    <w:rsid w:val="001761F7"/>
    <w:rsid w:val="0017626A"/>
    <w:rsid w:val="001768F6"/>
    <w:rsid w:val="0017694E"/>
    <w:rsid w:val="00176987"/>
    <w:rsid w:val="00176EC7"/>
    <w:rsid w:val="001771CC"/>
    <w:rsid w:val="0017738E"/>
    <w:rsid w:val="00177536"/>
    <w:rsid w:val="00177B98"/>
    <w:rsid w:val="0018184E"/>
    <w:rsid w:val="00182216"/>
    <w:rsid w:val="00182222"/>
    <w:rsid w:val="00182368"/>
    <w:rsid w:val="001829B3"/>
    <w:rsid w:val="00182A40"/>
    <w:rsid w:val="00182DCE"/>
    <w:rsid w:val="00183422"/>
    <w:rsid w:val="0018358B"/>
    <w:rsid w:val="00183D54"/>
    <w:rsid w:val="00183E2E"/>
    <w:rsid w:val="001840F3"/>
    <w:rsid w:val="001841F9"/>
    <w:rsid w:val="0018431B"/>
    <w:rsid w:val="001843F4"/>
    <w:rsid w:val="001847F9"/>
    <w:rsid w:val="00184C46"/>
    <w:rsid w:val="001853A9"/>
    <w:rsid w:val="00185C83"/>
    <w:rsid w:val="00185C8A"/>
    <w:rsid w:val="001862E0"/>
    <w:rsid w:val="001865EA"/>
    <w:rsid w:val="0018660D"/>
    <w:rsid w:val="00186DAB"/>
    <w:rsid w:val="00186E8A"/>
    <w:rsid w:val="001873C2"/>
    <w:rsid w:val="001875AF"/>
    <w:rsid w:val="00187878"/>
    <w:rsid w:val="00187D25"/>
    <w:rsid w:val="001906B7"/>
    <w:rsid w:val="00190B57"/>
    <w:rsid w:val="00190F85"/>
    <w:rsid w:val="00191431"/>
    <w:rsid w:val="001916EB"/>
    <w:rsid w:val="00191D8E"/>
    <w:rsid w:val="00191F39"/>
    <w:rsid w:val="00192C94"/>
    <w:rsid w:val="00193124"/>
    <w:rsid w:val="0019315A"/>
    <w:rsid w:val="001935A5"/>
    <w:rsid w:val="0019445A"/>
    <w:rsid w:val="001949D2"/>
    <w:rsid w:val="001954A3"/>
    <w:rsid w:val="00195B10"/>
    <w:rsid w:val="00195D67"/>
    <w:rsid w:val="00195E21"/>
    <w:rsid w:val="00195F24"/>
    <w:rsid w:val="00196890"/>
    <w:rsid w:val="0019786A"/>
    <w:rsid w:val="00197C80"/>
    <w:rsid w:val="001A05C8"/>
    <w:rsid w:val="001A1387"/>
    <w:rsid w:val="001A1615"/>
    <w:rsid w:val="001A1913"/>
    <w:rsid w:val="001A22A7"/>
    <w:rsid w:val="001A2625"/>
    <w:rsid w:val="001A300A"/>
    <w:rsid w:val="001A308D"/>
    <w:rsid w:val="001A36FA"/>
    <w:rsid w:val="001A4417"/>
    <w:rsid w:val="001A5672"/>
    <w:rsid w:val="001A5713"/>
    <w:rsid w:val="001A5729"/>
    <w:rsid w:val="001A6031"/>
    <w:rsid w:val="001A7242"/>
    <w:rsid w:val="001A751F"/>
    <w:rsid w:val="001A784D"/>
    <w:rsid w:val="001A7895"/>
    <w:rsid w:val="001A7EBC"/>
    <w:rsid w:val="001A7F2D"/>
    <w:rsid w:val="001B0181"/>
    <w:rsid w:val="001B01CD"/>
    <w:rsid w:val="001B0A54"/>
    <w:rsid w:val="001B0AF2"/>
    <w:rsid w:val="001B0CB7"/>
    <w:rsid w:val="001B0E83"/>
    <w:rsid w:val="001B155B"/>
    <w:rsid w:val="001B1ACA"/>
    <w:rsid w:val="001B1FD5"/>
    <w:rsid w:val="001B239F"/>
    <w:rsid w:val="001B24E3"/>
    <w:rsid w:val="001B253E"/>
    <w:rsid w:val="001B2AB1"/>
    <w:rsid w:val="001B2EF6"/>
    <w:rsid w:val="001B2F9D"/>
    <w:rsid w:val="001B2FD8"/>
    <w:rsid w:val="001B324E"/>
    <w:rsid w:val="001B3378"/>
    <w:rsid w:val="001B3393"/>
    <w:rsid w:val="001B353A"/>
    <w:rsid w:val="001B35E8"/>
    <w:rsid w:val="001B371D"/>
    <w:rsid w:val="001B372D"/>
    <w:rsid w:val="001B3AC0"/>
    <w:rsid w:val="001B3BE3"/>
    <w:rsid w:val="001B3D40"/>
    <w:rsid w:val="001B4DA5"/>
    <w:rsid w:val="001B502C"/>
    <w:rsid w:val="001B5490"/>
    <w:rsid w:val="001B7865"/>
    <w:rsid w:val="001C06F7"/>
    <w:rsid w:val="001C0787"/>
    <w:rsid w:val="001C0C8D"/>
    <w:rsid w:val="001C14B6"/>
    <w:rsid w:val="001C16E6"/>
    <w:rsid w:val="001C17A8"/>
    <w:rsid w:val="001C1800"/>
    <w:rsid w:val="001C1BFD"/>
    <w:rsid w:val="001C2187"/>
    <w:rsid w:val="001C2CBB"/>
    <w:rsid w:val="001C31D0"/>
    <w:rsid w:val="001C3677"/>
    <w:rsid w:val="001C378B"/>
    <w:rsid w:val="001C4609"/>
    <w:rsid w:val="001C4D15"/>
    <w:rsid w:val="001C5035"/>
    <w:rsid w:val="001C56EF"/>
    <w:rsid w:val="001C5B64"/>
    <w:rsid w:val="001C5C1D"/>
    <w:rsid w:val="001C5CBB"/>
    <w:rsid w:val="001C60A0"/>
    <w:rsid w:val="001C64A8"/>
    <w:rsid w:val="001C65EF"/>
    <w:rsid w:val="001C67D5"/>
    <w:rsid w:val="001C6B1E"/>
    <w:rsid w:val="001C6FEE"/>
    <w:rsid w:val="001C741B"/>
    <w:rsid w:val="001C7568"/>
    <w:rsid w:val="001C758B"/>
    <w:rsid w:val="001D04E7"/>
    <w:rsid w:val="001D06FE"/>
    <w:rsid w:val="001D09D5"/>
    <w:rsid w:val="001D107B"/>
    <w:rsid w:val="001D1144"/>
    <w:rsid w:val="001D12DB"/>
    <w:rsid w:val="001D14AA"/>
    <w:rsid w:val="001D1C63"/>
    <w:rsid w:val="001D22E4"/>
    <w:rsid w:val="001D26C3"/>
    <w:rsid w:val="001D3C9C"/>
    <w:rsid w:val="001D4113"/>
    <w:rsid w:val="001D4546"/>
    <w:rsid w:val="001D47B6"/>
    <w:rsid w:val="001D47C9"/>
    <w:rsid w:val="001D5B55"/>
    <w:rsid w:val="001D5CDD"/>
    <w:rsid w:val="001D5CE2"/>
    <w:rsid w:val="001D5EE7"/>
    <w:rsid w:val="001D61E2"/>
    <w:rsid w:val="001D6527"/>
    <w:rsid w:val="001D6E79"/>
    <w:rsid w:val="001D7012"/>
    <w:rsid w:val="001D7580"/>
    <w:rsid w:val="001D7850"/>
    <w:rsid w:val="001D7AA0"/>
    <w:rsid w:val="001D7AC9"/>
    <w:rsid w:val="001D7B47"/>
    <w:rsid w:val="001E0073"/>
    <w:rsid w:val="001E035B"/>
    <w:rsid w:val="001E0FC0"/>
    <w:rsid w:val="001E1165"/>
    <w:rsid w:val="001E1232"/>
    <w:rsid w:val="001E15AE"/>
    <w:rsid w:val="001E1AA5"/>
    <w:rsid w:val="001E1C58"/>
    <w:rsid w:val="001E1CEC"/>
    <w:rsid w:val="001E1FA2"/>
    <w:rsid w:val="001E2656"/>
    <w:rsid w:val="001E2C4D"/>
    <w:rsid w:val="001E2FE5"/>
    <w:rsid w:val="001E33A2"/>
    <w:rsid w:val="001E3B31"/>
    <w:rsid w:val="001E3CC3"/>
    <w:rsid w:val="001E618C"/>
    <w:rsid w:val="001E685E"/>
    <w:rsid w:val="001E69B2"/>
    <w:rsid w:val="001E6A78"/>
    <w:rsid w:val="001E6B14"/>
    <w:rsid w:val="001E6E2E"/>
    <w:rsid w:val="001E702C"/>
    <w:rsid w:val="001E70D2"/>
    <w:rsid w:val="001E7296"/>
    <w:rsid w:val="001E7515"/>
    <w:rsid w:val="001E760F"/>
    <w:rsid w:val="001E76B6"/>
    <w:rsid w:val="001E7758"/>
    <w:rsid w:val="001E7BAA"/>
    <w:rsid w:val="001E7F74"/>
    <w:rsid w:val="001F045A"/>
    <w:rsid w:val="001F0885"/>
    <w:rsid w:val="001F18C9"/>
    <w:rsid w:val="001F19A9"/>
    <w:rsid w:val="001F1C74"/>
    <w:rsid w:val="001F251E"/>
    <w:rsid w:val="001F2B03"/>
    <w:rsid w:val="001F2DFF"/>
    <w:rsid w:val="001F2ECD"/>
    <w:rsid w:val="001F3161"/>
    <w:rsid w:val="001F3344"/>
    <w:rsid w:val="001F36F8"/>
    <w:rsid w:val="001F3EB4"/>
    <w:rsid w:val="001F3F4D"/>
    <w:rsid w:val="001F3FE6"/>
    <w:rsid w:val="001F531C"/>
    <w:rsid w:val="001F5AF2"/>
    <w:rsid w:val="001F5C26"/>
    <w:rsid w:val="001F5DB2"/>
    <w:rsid w:val="001F5DC0"/>
    <w:rsid w:val="001F5E08"/>
    <w:rsid w:val="001F5F45"/>
    <w:rsid w:val="001F6C92"/>
    <w:rsid w:val="001F7146"/>
    <w:rsid w:val="001F77AB"/>
    <w:rsid w:val="00200136"/>
    <w:rsid w:val="0020060C"/>
    <w:rsid w:val="0020076E"/>
    <w:rsid w:val="00200A2C"/>
    <w:rsid w:val="00200A6B"/>
    <w:rsid w:val="00200C67"/>
    <w:rsid w:val="002013D8"/>
    <w:rsid w:val="002018E5"/>
    <w:rsid w:val="00201A07"/>
    <w:rsid w:val="00201FDE"/>
    <w:rsid w:val="0020206B"/>
    <w:rsid w:val="002021B2"/>
    <w:rsid w:val="0020231E"/>
    <w:rsid w:val="002028E0"/>
    <w:rsid w:val="00202C54"/>
    <w:rsid w:val="00202F7F"/>
    <w:rsid w:val="002031C9"/>
    <w:rsid w:val="00204C40"/>
    <w:rsid w:val="00205B4E"/>
    <w:rsid w:val="00207090"/>
    <w:rsid w:val="002070FD"/>
    <w:rsid w:val="0020744E"/>
    <w:rsid w:val="0020775C"/>
    <w:rsid w:val="0020796C"/>
    <w:rsid w:val="00207E22"/>
    <w:rsid w:val="002106EE"/>
    <w:rsid w:val="002109C4"/>
    <w:rsid w:val="00211119"/>
    <w:rsid w:val="0021138D"/>
    <w:rsid w:val="002116F7"/>
    <w:rsid w:val="00211F6E"/>
    <w:rsid w:val="0021229D"/>
    <w:rsid w:val="00212524"/>
    <w:rsid w:val="00212B5D"/>
    <w:rsid w:val="0021308E"/>
    <w:rsid w:val="0021387A"/>
    <w:rsid w:val="00213AC4"/>
    <w:rsid w:val="00214272"/>
    <w:rsid w:val="002142AE"/>
    <w:rsid w:val="00214879"/>
    <w:rsid w:val="00214D42"/>
    <w:rsid w:val="00215E29"/>
    <w:rsid w:val="00215F0E"/>
    <w:rsid w:val="00216B54"/>
    <w:rsid w:val="0021772E"/>
    <w:rsid w:val="002177A6"/>
    <w:rsid w:val="00217AC6"/>
    <w:rsid w:val="00217B32"/>
    <w:rsid w:val="00217DE3"/>
    <w:rsid w:val="0022063F"/>
    <w:rsid w:val="002209B8"/>
    <w:rsid w:val="00220C94"/>
    <w:rsid w:val="00220F8A"/>
    <w:rsid w:val="002210B1"/>
    <w:rsid w:val="0022117A"/>
    <w:rsid w:val="002212C0"/>
    <w:rsid w:val="0022168B"/>
    <w:rsid w:val="0022200F"/>
    <w:rsid w:val="002225B1"/>
    <w:rsid w:val="00222798"/>
    <w:rsid w:val="00222AAB"/>
    <w:rsid w:val="00222B22"/>
    <w:rsid w:val="00222E18"/>
    <w:rsid w:val="00222E41"/>
    <w:rsid w:val="00222EDC"/>
    <w:rsid w:val="0022301C"/>
    <w:rsid w:val="00223722"/>
    <w:rsid w:val="002240F2"/>
    <w:rsid w:val="00225043"/>
    <w:rsid w:val="002250C1"/>
    <w:rsid w:val="00225826"/>
    <w:rsid w:val="00226381"/>
    <w:rsid w:val="0022645D"/>
    <w:rsid w:val="00226743"/>
    <w:rsid w:val="00226905"/>
    <w:rsid w:val="00226A9D"/>
    <w:rsid w:val="0022732C"/>
    <w:rsid w:val="00227B13"/>
    <w:rsid w:val="00227FAB"/>
    <w:rsid w:val="0023064B"/>
    <w:rsid w:val="0023079B"/>
    <w:rsid w:val="00230C3C"/>
    <w:rsid w:val="00230D23"/>
    <w:rsid w:val="00230F65"/>
    <w:rsid w:val="002328D0"/>
    <w:rsid w:val="00232BA2"/>
    <w:rsid w:val="00232D3B"/>
    <w:rsid w:val="002331C1"/>
    <w:rsid w:val="002333D4"/>
    <w:rsid w:val="00233C4E"/>
    <w:rsid w:val="00234898"/>
    <w:rsid w:val="002351AD"/>
    <w:rsid w:val="002354A2"/>
    <w:rsid w:val="0023557D"/>
    <w:rsid w:val="00235A64"/>
    <w:rsid w:val="00235B92"/>
    <w:rsid w:val="00235CC2"/>
    <w:rsid w:val="0023617E"/>
    <w:rsid w:val="00236ED3"/>
    <w:rsid w:val="0023732E"/>
    <w:rsid w:val="002375D3"/>
    <w:rsid w:val="002378BB"/>
    <w:rsid w:val="0024038A"/>
    <w:rsid w:val="00240DF1"/>
    <w:rsid w:val="00241140"/>
    <w:rsid w:val="0024145A"/>
    <w:rsid w:val="00241602"/>
    <w:rsid w:val="00241E2A"/>
    <w:rsid w:val="00241F10"/>
    <w:rsid w:val="00242012"/>
    <w:rsid w:val="00242447"/>
    <w:rsid w:val="002425FA"/>
    <w:rsid w:val="00242E66"/>
    <w:rsid w:val="002430F6"/>
    <w:rsid w:val="002432B5"/>
    <w:rsid w:val="002437F5"/>
    <w:rsid w:val="002438BF"/>
    <w:rsid w:val="00243EAA"/>
    <w:rsid w:val="00243F14"/>
    <w:rsid w:val="00244042"/>
    <w:rsid w:val="002440E6"/>
    <w:rsid w:val="00244198"/>
    <w:rsid w:val="00244863"/>
    <w:rsid w:val="00244A28"/>
    <w:rsid w:val="00244CD6"/>
    <w:rsid w:val="00244F29"/>
    <w:rsid w:val="002455BF"/>
    <w:rsid w:val="002458B0"/>
    <w:rsid w:val="00245A92"/>
    <w:rsid w:val="00246429"/>
    <w:rsid w:val="002465D8"/>
    <w:rsid w:val="00246725"/>
    <w:rsid w:val="002479A3"/>
    <w:rsid w:val="0025023F"/>
    <w:rsid w:val="00250F72"/>
    <w:rsid w:val="00251B4A"/>
    <w:rsid w:val="00251FE0"/>
    <w:rsid w:val="00252C8D"/>
    <w:rsid w:val="00253150"/>
    <w:rsid w:val="0025350C"/>
    <w:rsid w:val="002536A8"/>
    <w:rsid w:val="00253A8E"/>
    <w:rsid w:val="00253ADA"/>
    <w:rsid w:val="00253B47"/>
    <w:rsid w:val="00253C1A"/>
    <w:rsid w:val="00253DEC"/>
    <w:rsid w:val="00255308"/>
    <w:rsid w:val="0025534C"/>
    <w:rsid w:val="002556E5"/>
    <w:rsid w:val="0025576E"/>
    <w:rsid w:val="00255F55"/>
    <w:rsid w:val="00256123"/>
    <w:rsid w:val="002569A9"/>
    <w:rsid w:val="00256B8A"/>
    <w:rsid w:val="00256BA5"/>
    <w:rsid w:val="00256F1B"/>
    <w:rsid w:val="00256F21"/>
    <w:rsid w:val="00256FC5"/>
    <w:rsid w:val="00257573"/>
    <w:rsid w:val="002575D1"/>
    <w:rsid w:val="0025784D"/>
    <w:rsid w:val="00257990"/>
    <w:rsid w:val="00257B0E"/>
    <w:rsid w:val="00257B2F"/>
    <w:rsid w:val="0026069D"/>
    <w:rsid w:val="002606A5"/>
    <w:rsid w:val="00261382"/>
    <w:rsid w:val="00261702"/>
    <w:rsid w:val="0026172E"/>
    <w:rsid w:val="00261890"/>
    <w:rsid w:val="00261A20"/>
    <w:rsid w:val="002622E1"/>
    <w:rsid w:val="0026264D"/>
    <w:rsid w:val="00262766"/>
    <w:rsid w:val="00262D9C"/>
    <w:rsid w:val="00263405"/>
    <w:rsid w:val="00263FD8"/>
    <w:rsid w:val="00264B79"/>
    <w:rsid w:val="00265235"/>
    <w:rsid w:val="00265B12"/>
    <w:rsid w:val="00266074"/>
    <w:rsid w:val="00266E49"/>
    <w:rsid w:val="00266E80"/>
    <w:rsid w:val="0026716C"/>
    <w:rsid w:val="0026772B"/>
    <w:rsid w:val="00267E04"/>
    <w:rsid w:val="00267F01"/>
    <w:rsid w:val="00270A9B"/>
    <w:rsid w:val="00270FA3"/>
    <w:rsid w:val="00271273"/>
    <w:rsid w:val="002715D7"/>
    <w:rsid w:val="00271656"/>
    <w:rsid w:val="00271B28"/>
    <w:rsid w:val="00271FDC"/>
    <w:rsid w:val="0027207D"/>
    <w:rsid w:val="0027249B"/>
    <w:rsid w:val="002727D3"/>
    <w:rsid w:val="002728EE"/>
    <w:rsid w:val="00272D16"/>
    <w:rsid w:val="00273202"/>
    <w:rsid w:val="00273C0B"/>
    <w:rsid w:val="00273EFC"/>
    <w:rsid w:val="0027448D"/>
    <w:rsid w:val="0027454B"/>
    <w:rsid w:val="002749C6"/>
    <w:rsid w:val="00274A7A"/>
    <w:rsid w:val="00274ACD"/>
    <w:rsid w:val="00274E48"/>
    <w:rsid w:val="00275199"/>
    <w:rsid w:val="002753ED"/>
    <w:rsid w:val="002756DB"/>
    <w:rsid w:val="00275B37"/>
    <w:rsid w:val="00276D99"/>
    <w:rsid w:val="00276F31"/>
    <w:rsid w:val="002775D1"/>
    <w:rsid w:val="00277696"/>
    <w:rsid w:val="00277E8F"/>
    <w:rsid w:val="0028059B"/>
    <w:rsid w:val="00280617"/>
    <w:rsid w:val="002808F1"/>
    <w:rsid w:val="00280A56"/>
    <w:rsid w:val="00280EBF"/>
    <w:rsid w:val="00280F17"/>
    <w:rsid w:val="00281AAC"/>
    <w:rsid w:val="002820BF"/>
    <w:rsid w:val="00282514"/>
    <w:rsid w:val="00282534"/>
    <w:rsid w:val="0028288D"/>
    <w:rsid w:val="00282A98"/>
    <w:rsid w:val="00282E44"/>
    <w:rsid w:val="00283293"/>
    <w:rsid w:val="0028355A"/>
    <w:rsid w:val="00283596"/>
    <w:rsid w:val="00283D0C"/>
    <w:rsid w:val="0028405E"/>
    <w:rsid w:val="002843DC"/>
    <w:rsid w:val="00284430"/>
    <w:rsid w:val="002845DE"/>
    <w:rsid w:val="00284E1F"/>
    <w:rsid w:val="00284FCE"/>
    <w:rsid w:val="0028571D"/>
    <w:rsid w:val="00285966"/>
    <w:rsid w:val="00285B55"/>
    <w:rsid w:val="00286B76"/>
    <w:rsid w:val="00286C94"/>
    <w:rsid w:val="00286E41"/>
    <w:rsid w:val="00287562"/>
    <w:rsid w:val="0028776E"/>
    <w:rsid w:val="0029021B"/>
    <w:rsid w:val="00290552"/>
    <w:rsid w:val="00290665"/>
    <w:rsid w:val="00290B79"/>
    <w:rsid w:val="00290C1A"/>
    <w:rsid w:val="00291858"/>
    <w:rsid w:val="00291A07"/>
    <w:rsid w:val="00291EB0"/>
    <w:rsid w:val="00292B86"/>
    <w:rsid w:val="00292F62"/>
    <w:rsid w:val="00293425"/>
    <w:rsid w:val="00293CF1"/>
    <w:rsid w:val="00294A48"/>
    <w:rsid w:val="00294B17"/>
    <w:rsid w:val="00294B49"/>
    <w:rsid w:val="00297076"/>
    <w:rsid w:val="002A036C"/>
    <w:rsid w:val="002A0BEF"/>
    <w:rsid w:val="002A12B2"/>
    <w:rsid w:val="002A147B"/>
    <w:rsid w:val="002A1771"/>
    <w:rsid w:val="002A2083"/>
    <w:rsid w:val="002A23A7"/>
    <w:rsid w:val="002A254D"/>
    <w:rsid w:val="002A25DA"/>
    <w:rsid w:val="002A2709"/>
    <w:rsid w:val="002A2725"/>
    <w:rsid w:val="002A2A8E"/>
    <w:rsid w:val="002A2AC5"/>
    <w:rsid w:val="002A2C43"/>
    <w:rsid w:val="002A2EED"/>
    <w:rsid w:val="002A3447"/>
    <w:rsid w:val="002A361A"/>
    <w:rsid w:val="002A3673"/>
    <w:rsid w:val="002A380D"/>
    <w:rsid w:val="002A3D56"/>
    <w:rsid w:val="002A408C"/>
    <w:rsid w:val="002A45C4"/>
    <w:rsid w:val="002A54F5"/>
    <w:rsid w:val="002A5AFA"/>
    <w:rsid w:val="002A5C8F"/>
    <w:rsid w:val="002A5F83"/>
    <w:rsid w:val="002A6465"/>
    <w:rsid w:val="002A6CB7"/>
    <w:rsid w:val="002A7539"/>
    <w:rsid w:val="002A756A"/>
    <w:rsid w:val="002B0198"/>
    <w:rsid w:val="002B0715"/>
    <w:rsid w:val="002B08E3"/>
    <w:rsid w:val="002B0AE3"/>
    <w:rsid w:val="002B0D55"/>
    <w:rsid w:val="002B1055"/>
    <w:rsid w:val="002B26B3"/>
    <w:rsid w:val="002B2DD5"/>
    <w:rsid w:val="002B30E9"/>
    <w:rsid w:val="002B398E"/>
    <w:rsid w:val="002B43D5"/>
    <w:rsid w:val="002B5674"/>
    <w:rsid w:val="002B5F97"/>
    <w:rsid w:val="002B604F"/>
    <w:rsid w:val="002B6142"/>
    <w:rsid w:val="002B64E8"/>
    <w:rsid w:val="002B6D0C"/>
    <w:rsid w:val="002B6ECB"/>
    <w:rsid w:val="002B708E"/>
    <w:rsid w:val="002B7094"/>
    <w:rsid w:val="002B7195"/>
    <w:rsid w:val="002B7344"/>
    <w:rsid w:val="002B73A6"/>
    <w:rsid w:val="002B78F0"/>
    <w:rsid w:val="002B7A7E"/>
    <w:rsid w:val="002B7C01"/>
    <w:rsid w:val="002B7DCB"/>
    <w:rsid w:val="002B7E56"/>
    <w:rsid w:val="002C069D"/>
    <w:rsid w:val="002C0882"/>
    <w:rsid w:val="002C1280"/>
    <w:rsid w:val="002C12CB"/>
    <w:rsid w:val="002C1A49"/>
    <w:rsid w:val="002C22B8"/>
    <w:rsid w:val="002C23FF"/>
    <w:rsid w:val="002C26C0"/>
    <w:rsid w:val="002C279D"/>
    <w:rsid w:val="002C312E"/>
    <w:rsid w:val="002C32A3"/>
    <w:rsid w:val="002C36BE"/>
    <w:rsid w:val="002C3B98"/>
    <w:rsid w:val="002C46C5"/>
    <w:rsid w:val="002C5854"/>
    <w:rsid w:val="002C5FF1"/>
    <w:rsid w:val="002C60C6"/>
    <w:rsid w:val="002C6218"/>
    <w:rsid w:val="002C652B"/>
    <w:rsid w:val="002C6EA5"/>
    <w:rsid w:val="002C70DE"/>
    <w:rsid w:val="002C7939"/>
    <w:rsid w:val="002C7E64"/>
    <w:rsid w:val="002C7F2D"/>
    <w:rsid w:val="002D0B5B"/>
    <w:rsid w:val="002D17CB"/>
    <w:rsid w:val="002D1D0C"/>
    <w:rsid w:val="002D23CE"/>
    <w:rsid w:val="002D2595"/>
    <w:rsid w:val="002D280B"/>
    <w:rsid w:val="002D2D87"/>
    <w:rsid w:val="002D340F"/>
    <w:rsid w:val="002D3FB1"/>
    <w:rsid w:val="002D4048"/>
    <w:rsid w:val="002D4231"/>
    <w:rsid w:val="002D45E0"/>
    <w:rsid w:val="002D522C"/>
    <w:rsid w:val="002D5BAE"/>
    <w:rsid w:val="002D5D17"/>
    <w:rsid w:val="002D6101"/>
    <w:rsid w:val="002D61ED"/>
    <w:rsid w:val="002D67F8"/>
    <w:rsid w:val="002D67FB"/>
    <w:rsid w:val="002D692B"/>
    <w:rsid w:val="002D6B1B"/>
    <w:rsid w:val="002D6E1F"/>
    <w:rsid w:val="002D6F5C"/>
    <w:rsid w:val="002D7C47"/>
    <w:rsid w:val="002D7DD6"/>
    <w:rsid w:val="002D7F0B"/>
    <w:rsid w:val="002E014D"/>
    <w:rsid w:val="002E0F10"/>
    <w:rsid w:val="002E0F38"/>
    <w:rsid w:val="002E11E9"/>
    <w:rsid w:val="002E15BD"/>
    <w:rsid w:val="002E1634"/>
    <w:rsid w:val="002E1911"/>
    <w:rsid w:val="002E1BAE"/>
    <w:rsid w:val="002E26BC"/>
    <w:rsid w:val="002E2760"/>
    <w:rsid w:val="002E2969"/>
    <w:rsid w:val="002E2A74"/>
    <w:rsid w:val="002E2B1A"/>
    <w:rsid w:val="002E3137"/>
    <w:rsid w:val="002E317A"/>
    <w:rsid w:val="002E39B2"/>
    <w:rsid w:val="002E3EEC"/>
    <w:rsid w:val="002E4097"/>
    <w:rsid w:val="002E4427"/>
    <w:rsid w:val="002E446C"/>
    <w:rsid w:val="002E460A"/>
    <w:rsid w:val="002E4666"/>
    <w:rsid w:val="002E4E07"/>
    <w:rsid w:val="002E5384"/>
    <w:rsid w:val="002E57CD"/>
    <w:rsid w:val="002E6004"/>
    <w:rsid w:val="002E61D9"/>
    <w:rsid w:val="002E636C"/>
    <w:rsid w:val="002E6491"/>
    <w:rsid w:val="002E6B63"/>
    <w:rsid w:val="002E6F8D"/>
    <w:rsid w:val="002E70F9"/>
    <w:rsid w:val="002E74A5"/>
    <w:rsid w:val="002E7655"/>
    <w:rsid w:val="002E7915"/>
    <w:rsid w:val="002F058D"/>
    <w:rsid w:val="002F07DD"/>
    <w:rsid w:val="002F0E5B"/>
    <w:rsid w:val="002F127F"/>
    <w:rsid w:val="002F15EC"/>
    <w:rsid w:val="002F2351"/>
    <w:rsid w:val="002F2F92"/>
    <w:rsid w:val="002F30E2"/>
    <w:rsid w:val="002F35AA"/>
    <w:rsid w:val="002F3652"/>
    <w:rsid w:val="002F3BFA"/>
    <w:rsid w:val="002F448A"/>
    <w:rsid w:val="002F4A11"/>
    <w:rsid w:val="002F4C9B"/>
    <w:rsid w:val="002F5027"/>
    <w:rsid w:val="002F5686"/>
    <w:rsid w:val="002F5FA0"/>
    <w:rsid w:val="002F60E8"/>
    <w:rsid w:val="002F64ED"/>
    <w:rsid w:val="002F7156"/>
    <w:rsid w:val="002F739A"/>
    <w:rsid w:val="002F7456"/>
    <w:rsid w:val="002F7A24"/>
    <w:rsid w:val="002F7F15"/>
    <w:rsid w:val="00300466"/>
    <w:rsid w:val="0030095C"/>
    <w:rsid w:val="00300C81"/>
    <w:rsid w:val="00300D12"/>
    <w:rsid w:val="00300DA8"/>
    <w:rsid w:val="00300EAC"/>
    <w:rsid w:val="003014C8"/>
    <w:rsid w:val="003014D8"/>
    <w:rsid w:val="00301BDD"/>
    <w:rsid w:val="00301D65"/>
    <w:rsid w:val="00302118"/>
    <w:rsid w:val="00302245"/>
    <w:rsid w:val="003023B2"/>
    <w:rsid w:val="003027AA"/>
    <w:rsid w:val="00303C53"/>
    <w:rsid w:val="00304411"/>
    <w:rsid w:val="003046E2"/>
    <w:rsid w:val="003047B8"/>
    <w:rsid w:val="0030514E"/>
    <w:rsid w:val="00305471"/>
    <w:rsid w:val="00306031"/>
    <w:rsid w:val="00306340"/>
    <w:rsid w:val="0030636D"/>
    <w:rsid w:val="003064B9"/>
    <w:rsid w:val="00306725"/>
    <w:rsid w:val="00306EA9"/>
    <w:rsid w:val="003070CF"/>
    <w:rsid w:val="00307104"/>
    <w:rsid w:val="00307C97"/>
    <w:rsid w:val="003106D3"/>
    <w:rsid w:val="00310EA3"/>
    <w:rsid w:val="00311027"/>
    <w:rsid w:val="00311195"/>
    <w:rsid w:val="00312753"/>
    <w:rsid w:val="00312B22"/>
    <w:rsid w:val="00312C29"/>
    <w:rsid w:val="00312D0A"/>
    <w:rsid w:val="0031318C"/>
    <w:rsid w:val="003132DD"/>
    <w:rsid w:val="0031360E"/>
    <w:rsid w:val="00313850"/>
    <w:rsid w:val="00313AC7"/>
    <w:rsid w:val="00313BF6"/>
    <w:rsid w:val="00313C15"/>
    <w:rsid w:val="00313CB0"/>
    <w:rsid w:val="00313FEB"/>
    <w:rsid w:val="00314218"/>
    <w:rsid w:val="00314AB4"/>
    <w:rsid w:val="003152BF"/>
    <w:rsid w:val="00315BF7"/>
    <w:rsid w:val="003174B9"/>
    <w:rsid w:val="00317840"/>
    <w:rsid w:val="00317881"/>
    <w:rsid w:val="00317B46"/>
    <w:rsid w:val="00317BCF"/>
    <w:rsid w:val="00317E17"/>
    <w:rsid w:val="003200F3"/>
    <w:rsid w:val="0032037C"/>
    <w:rsid w:val="003218D5"/>
    <w:rsid w:val="00321B03"/>
    <w:rsid w:val="003221F2"/>
    <w:rsid w:val="00322F98"/>
    <w:rsid w:val="00322FA8"/>
    <w:rsid w:val="003230BE"/>
    <w:rsid w:val="003232FA"/>
    <w:rsid w:val="0032351A"/>
    <w:rsid w:val="003239AA"/>
    <w:rsid w:val="00323C11"/>
    <w:rsid w:val="00324FE8"/>
    <w:rsid w:val="003253C2"/>
    <w:rsid w:val="00325655"/>
    <w:rsid w:val="003257B9"/>
    <w:rsid w:val="003257BC"/>
    <w:rsid w:val="00325B9F"/>
    <w:rsid w:val="00325C94"/>
    <w:rsid w:val="0032687F"/>
    <w:rsid w:val="003268DB"/>
    <w:rsid w:val="00326ECD"/>
    <w:rsid w:val="003272DB"/>
    <w:rsid w:val="00327F9E"/>
    <w:rsid w:val="00330A39"/>
    <w:rsid w:val="003310FD"/>
    <w:rsid w:val="00332A7E"/>
    <w:rsid w:val="00332CB0"/>
    <w:rsid w:val="00332FAB"/>
    <w:rsid w:val="0033304F"/>
    <w:rsid w:val="003339C4"/>
    <w:rsid w:val="003340D1"/>
    <w:rsid w:val="0033449C"/>
    <w:rsid w:val="003347D0"/>
    <w:rsid w:val="00334F9D"/>
    <w:rsid w:val="0033526E"/>
    <w:rsid w:val="003353F8"/>
    <w:rsid w:val="003356BE"/>
    <w:rsid w:val="00335B17"/>
    <w:rsid w:val="003362AC"/>
    <w:rsid w:val="003366A2"/>
    <w:rsid w:val="003366D5"/>
    <w:rsid w:val="00336DC4"/>
    <w:rsid w:val="003373B6"/>
    <w:rsid w:val="003375C2"/>
    <w:rsid w:val="003378CC"/>
    <w:rsid w:val="0033796C"/>
    <w:rsid w:val="00337A57"/>
    <w:rsid w:val="00337F39"/>
    <w:rsid w:val="00340ABF"/>
    <w:rsid w:val="00340C72"/>
    <w:rsid w:val="00340D37"/>
    <w:rsid w:val="00341673"/>
    <w:rsid w:val="00341B55"/>
    <w:rsid w:val="00341BFA"/>
    <w:rsid w:val="00341CBE"/>
    <w:rsid w:val="00341F0F"/>
    <w:rsid w:val="00342269"/>
    <w:rsid w:val="003429FF"/>
    <w:rsid w:val="00342C61"/>
    <w:rsid w:val="00343EA1"/>
    <w:rsid w:val="00344156"/>
    <w:rsid w:val="00344BA0"/>
    <w:rsid w:val="00344FCA"/>
    <w:rsid w:val="0034512B"/>
    <w:rsid w:val="0034549D"/>
    <w:rsid w:val="00345BAC"/>
    <w:rsid w:val="00345C53"/>
    <w:rsid w:val="00346349"/>
    <w:rsid w:val="00346514"/>
    <w:rsid w:val="00346FE9"/>
    <w:rsid w:val="0034792E"/>
    <w:rsid w:val="00347FA7"/>
    <w:rsid w:val="00350554"/>
    <w:rsid w:val="00350962"/>
    <w:rsid w:val="00350A5F"/>
    <w:rsid w:val="00350B01"/>
    <w:rsid w:val="00350C94"/>
    <w:rsid w:val="00350E5C"/>
    <w:rsid w:val="00350EA5"/>
    <w:rsid w:val="00351405"/>
    <w:rsid w:val="00352D33"/>
    <w:rsid w:val="00352F46"/>
    <w:rsid w:val="00353C14"/>
    <w:rsid w:val="00354BB1"/>
    <w:rsid w:val="00354E64"/>
    <w:rsid w:val="00354EEA"/>
    <w:rsid w:val="00354EF9"/>
    <w:rsid w:val="0035521C"/>
    <w:rsid w:val="00355468"/>
    <w:rsid w:val="003562F5"/>
    <w:rsid w:val="00356361"/>
    <w:rsid w:val="003568DA"/>
    <w:rsid w:val="00356C04"/>
    <w:rsid w:val="00356EFA"/>
    <w:rsid w:val="00357211"/>
    <w:rsid w:val="003572FD"/>
    <w:rsid w:val="00360606"/>
    <w:rsid w:val="0036137B"/>
    <w:rsid w:val="00361B4C"/>
    <w:rsid w:val="00362523"/>
    <w:rsid w:val="0036254B"/>
    <w:rsid w:val="0036269B"/>
    <w:rsid w:val="003629A2"/>
    <w:rsid w:val="00362C4A"/>
    <w:rsid w:val="0036324A"/>
    <w:rsid w:val="00363724"/>
    <w:rsid w:val="00363A79"/>
    <w:rsid w:val="00364542"/>
    <w:rsid w:val="0036460B"/>
    <w:rsid w:val="00364CBE"/>
    <w:rsid w:val="00365315"/>
    <w:rsid w:val="00365669"/>
    <w:rsid w:val="00365CF1"/>
    <w:rsid w:val="00365D8B"/>
    <w:rsid w:val="00365D95"/>
    <w:rsid w:val="00366C6A"/>
    <w:rsid w:val="00366D3C"/>
    <w:rsid w:val="00366D7E"/>
    <w:rsid w:val="00366F3F"/>
    <w:rsid w:val="003670E7"/>
    <w:rsid w:val="0036726E"/>
    <w:rsid w:val="0036776C"/>
    <w:rsid w:val="0036794C"/>
    <w:rsid w:val="00367987"/>
    <w:rsid w:val="00370097"/>
    <w:rsid w:val="00370507"/>
    <w:rsid w:val="00371285"/>
    <w:rsid w:val="003712AD"/>
    <w:rsid w:val="003725BE"/>
    <w:rsid w:val="00372E31"/>
    <w:rsid w:val="00373125"/>
    <w:rsid w:val="00373348"/>
    <w:rsid w:val="00373858"/>
    <w:rsid w:val="00373B92"/>
    <w:rsid w:val="00374205"/>
    <w:rsid w:val="00374312"/>
    <w:rsid w:val="003748F8"/>
    <w:rsid w:val="0037504F"/>
    <w:rsid w:val="0037528B"/>
    <w:rsid w:val="003755F9"/>
    <w:rsid w:val="00375A98"/>
    <w:rsid w:val="00375DD3"/>
    <w:rsid w:val="003761B4"/>
    <w:rsid w:val="0037643A"/>
    <w:rsid w:val="0037669F"/>
    <w:rsid w:val="00376972"/>
    <w:rsid w:val="00376AAC"/>
    <w:rsid w:val="00376D2A"/>
    <w:rsid w:val="00377BE1"/>
    <w:rsid w:val="00380318"/>
    <w:rsid w:val="003806A5"/>
    <w:rsid w:val="00380B7D"/>
    <w:rsid w:val="00380D9B"/>
    <w:rsid w:val="00380E9B"/>
    <w:rsid w:val="00381120"/>
    <w:rsid w:val="00381688"/>
    <w:rsid w:val="00381963"/>
    <w:rsid w:val="00381F5C"/>
    <w:rsid w:val="00382253"/>
    <w:rsid w:val="003828A1"/>
    <w:rsid w:val="003828C4"/>
    <w:rsid w:val="00382C10"/>
    <w:rsid w:val="00383703"/>
    <w:rsid w:val="00383CF5"/>
    <w:rsid w:val="00384A33"/>
    <w:rsid w:val="00384B46"/>
    <w:rsid w:val="00384B5E"/>
    <w:rsid w:val="00385197"/>
    <w:rsid w:val="003854CC"/>
    <w:rsid w:val="0038593A"/>
    <w:rsid w:val="00386211"/>
    <w:rsid w:val="003876AD"/>
    <w:rsid w:val="00387782"/>
    <w:rsid w:val="00387D56"/>
    <w:rsid w:val="00387FCF"/>
    <w:rsid w:val="00390628"/>
    <w:rsid w:val="00390BB1"/>
    <w:rsid w:val="00390D99"/>
    <w:rsid w:val="003912F6"/>
    <w:rsid w:val="00391D39"/>
    <w:rsid w:val="00392257"/>
    <w:rsid w:val="003922AE"/>
    <w:rsid w:val="003927DD"/>
    <w:rsid w:val="00392D56"/>
    <w:rsid w:val="00392FC7"/>
    <w:rsid w:val="00393003"/>
    <w:rsid w:val="0039314D"/>
    <w:rsid w:val="00393300"/>
    <w:rsid w:val="00393D90"/>
    <w:rsid w:val="00393DB0"/>
    <w:rsid w:val="00393EA3"/>
    <w:rsid w:val="00394004"/>
    <w:rsid w:val="00394013"/>
    <w:rsid w:val="003940A5"/>
    <w:rsid w:val="00394EA3"/>
    <w:rsid w:val="00395118"/>
    <w:rsid w:val="003959AE"/>
    <w:rsid w:val="00395A1D"/>
    <w:rsid w:val="00395BEC"/>
    <w:rsid w:val="003960C0"/>
    <w:rsid w:val="00396A1E"/>
    <w:rsid w:val="00396A25"/>
    <w:rsid w:val="00396D4C"/>
    <w:rsid w:val="00396D74"/>
    <w:rsid w:val="00396F15"/>
    <w:rsid w:val="003970A7"/>
    <w:rsid w:val="0039711C"/>
    <w:rsid w:val="00397659"/>
    <w:rsid w:val="003A03B6"/>
    <w:rsid w:val="003A03EC"/>
    <w:rsid w:val="003A04BD"/>
    <w:rsid w:val="003A0A15"/>
    <w:rsid w:val="003A0D57"/>
    <w:rsid w:val="003A0D60"/>
    <w:rsid w:val="003A10D5"/>
    <w:rsid w:val="003A18C4"/>
    <w:rsid w:val="003A1988"/>
    <w:rsid w:val="003A1A5E"/>
    <w:rsid w:val="003A1FB6"/>
    <w:rsid w:val="003A2374"/>
    <w:rsid w:val="003A2A13"/>
    <w:rsid w:val="003A2A92"/>
    <w:rsid w:val="003A342C"/>
    <w:rsid w:val="003A3E4A"/>
    <w:rsid w:val="003A4B37"/>
    <w:rsid w:val="003A4CA6"/>
    <w:rsid w:val="003A5737"/>
    <w:rsid w:val="003A5E07"/>
    <w:rsid w:val="003A5EBB"/>
    <w:rsid w:val="003A6370"/>
    <w:rsid w:val="003A6376"/>
    <w:rsid w:val="003A6948"/>
    <w:rsid w:val="003A6952"/>
    <w:rsid w:val="003A6F40"/>
    <w:rsid w:val="003A7B15"/>
    <w:rsid w:val="003A7DF1"/>
    <w:rsid w:val="003A7F17"/>
    <w:rsid w:val="003B0345"/>
    <w:rsid w:val="003B04DF"/>
    <w:rsid w:val="003B1308"/>
    <w:rsid w:val="003B1BA1"/>
    <w:rsid w:val="003B2383"/>
    <w:rsid w:val="003B24CD"/>
    <w:rsid w:val="003B28DA"/>
    <w:rsid w:val="003B38D2"/>
    <w:rsid w:val="003B3B1E"/>
    <w:rsid w:val="003B3C8A"/>
    <w:rsid w:val="003B3F6D"/>
    <w:rsid w:val="003B4669"/>
    <w:rsid w:val="003B4F4D"/>
    <w:rsid w:val="003B4FC1"/>
    <w:rsid w:val="003B5027"/>
    <w:rsid w:val="003B5281"/>
    <w:rsid w:val="003B56A8"/>
    <w:rsid w:val="003B595A"/>
    <w:rsid w:val="003B5A24"/>
    <w:rsid w:val="003B5C0C"/>
    <w:rsid w:val="003B6E87"/>
    <w:rsid w:val="003B6FC6"/>
    <w:rsid w:val="003B7858"/>
    <w:rsid w:val="003B7B14"/>
    <w:rsid w:val="003B7D3D"/>
    <w:rsid w:val="003B7ED6"/>
    <w:rsid w:val="003C0509"/>
    <w:rsid w:val="003C09AC"/>
    <w:rsid w:val="003C0A5D"/>
    <w:rsid w:val="003C0C37"/>
    <w:rsid w:val="003C0C70"/>
    <w:rsid w:val="003C179A"/>
    <w:rsid w:val="003C18DB"/>
    <w:rsid w:val="003C1E22"/>
    <w:rsid w:val="003C4071"/>
    <w:rsid w:val="003C40AC"/>
    <w:rsid w:val="003C4617"/>
    <w:rsid w:val="003C4A22"/>
    <w:rsid w:val="003C4C21"/>
    <w:rsid w:val="003C4DA0"/>
    <w:rsid w:val="003C5078"/>
    <w:rsid w:val="003C55AA"/>
    <w:rsid w:val="003C5B61"/>
    <w:rsid w:val="003C5BE3"/>
    <w:rsid w:val="003C5F94"/>
    <w:rsid w:val="003C6086"/>
    <w:rsid w:val="003C678C"/>
    <w:rsid w:val="003C6C3C"/>
    <w:rsid w:val="003C7018"/>
    <w:rsid w:val="003C77BD"/>
    <w:rsid w:val="003C7AB1"/>
    <w:rsid w:val="003C7B25"/>
    <w:rsid w:val="003D040A"/>
    <w:rsid w:val="003D060F"/>
    <w:rsid w:val="003D1090"/>
    <w:rsid w:val="003D1240"/>
    <w:rsid w:val="003D1E3B"/>
    <w:rsid w:val="003D1F8E"/>
    <w:rsid w:val="003D2149"/>
    <w:rsid w:val="003D2FB7"/>
    <w:rsid w:val="003D3E71"/>
    <w:rsid w:val="003D3F79"/>
    <w:rsid w:val="003D42CE"/>
    <w:rsid w:val="003D43B0"/>
    <w:rsid w:val="003D4D1F"/>
    <w:rsid w:val="003D543A"/>
    <w:rsid w:val="003D574D"/>
    <w:rsid w:val="003D5B2C"/>
    <w:rsid w:val="003D5B58"/>
    <w:rsid w:val="003D5D63"/>
    <w:rsid w:val="003D6075"/>
    <w:rsid w:val="003D649A"/>
    <w:rsid w:val="003D670B"/>
    <w:rsid w:val="003D67CC"/>
    <w:rsid w:val="003D6F12"/>
    <w:rsid w:val="003D7A10"/>
    <w:rsid w:val="003D7AB1"/>
    <w:rsid w:val="003D7D4A"/>
    <w:rsid w:val="003E04C8"/>
    <w:rsid w:val="003E06A0"/>
    <w:rsid w:val="003E08DB"/>
    <w:rsid w:val="003E15CC"/>
    <w:rsid w:val="003E169A"/>
    <w:rsid w:val="003E1DA6"/>
    <w:rsid w:val="003E1F70"/>
    <w:rsid w:val="003E216F"/>
    <w:rsid w:val="003E22BA"/>
    <w:rsid w:val="003E271A"/>
    <w:rsid w:val="003E29FD"/>
    <w:rsid w:val="003E3374"/>
    <w:rsid w:val="003E3CED"/>
    <w:rsid w:val="003E4891"/>
    <w:rsid w:val="003E4BAD"/>
    <w:rsid w:val="003E4C0D"/>
    <w:rsid w:val="003E4E2C"/>
    <w:rsid w:val="003E5180"/>
    <w:rsid w:val="003E531F"/>
    <w:rsid w:val="003E54C8"/>
    <w:rsid w:val="003E649A"/>
    <w:rsid w:val="003E64BC"/>
    <w:rsid w:val="003E67DE"/>
    <w:rsid w:val="003E6B8F"/>
    <w:rsid w:val="003E6E50"/>
    <w:rsid w:val="003E700F"/>
    <w:rsid w:val="003E7354"/>
    <w:rsid w:val="003E7458"/>
    <w:rsid w:val="003E790C"/>
    <w:rsid w:val="003E79D8"/>
    <w:rsid w:val="003E7A5A"/>
    <w:rsid w:val="003E7A92"/>
    <w:rsid w:val="003E7D5C"/>
    <w:rsid w:val="003F0164"/>
    <w:rsid w:val="003F08CD"/>
    <w:rsid w:val="003F0B66"/>
    <w:rsid w:val="003F0BDE"/>
    <w:rsid w:val="003F176D"/>
    <w:rsid w:val="003F1BED"/>
    <w:rsid w:val="003F1DD9"/>
    <w:rsid w:val="003F1E7B"/>
    <w:rsid w:val="003F20EC"/>
    <w:rsid w:val="003F26A1"/>
    <w:rsid w:val="003F288B"/>
    <w:rsid w:val="003F2AA9"/>
    <w:rsid w:val="003F34DF"/>
    <w:rsid w:val="003F37E5"/>
    <w:rsid w:val="003F3811"/>
    <w:rsid w:val="003F409B"/>
    <w:rsid w:val="003F4717"/>
    <w:rsid w:val="003F4BDA"/>
    <w:rsid w:val="003F4CBE"/>
    <w:rsid w:val="003F4D72"/>
    <w:rsid w:val="003F50B4"/>
    <w:rsid w:val="003F56A2"/>
    <w:rsid w:val="003F644F"/>
    <w:rsid w:val="003F6915"/>
    <w:rsid w:val="003F6996"/>
    <w:rsid w:val="003F6D00"/>
    <w:rsid w:val="003F7E72"/>
    <w:rsid w:val="004001E0"/>
    <w:rsid w:val="0040073C"/>
    <w:rsid w:val="00401141"/>
    <w:rsid w:val="004012D7"/>
    <w:rsid w:val="00401B4D"/>
    <w:rsid w:val="00402820"/>
    <w:rsid w:val="00402936"/>
    <w:rsid w:val="00402D98"/>
    <w:rsid w:val="00402EBA"/>
    <w:rsid w:val="004034CA"/>
    <w:rsid w:val="00403759"/>
    <w:rsid w:val="004037FE"/>
    <w:rsid w:val="00403E18"/>
    <w:rsid w:val="00403F93"/>
    <w:rsid w:val="00404666"/>
    <w:rsid w:val="00404AC0"/>
    <w:rsid w:val="00404B93"/>
    <w:rsid w:val="0040511B"/>
    <w:rsid w:val="00405AD8"/>
    <w:rsid w:val="00405ED8"/>
    <w:rsid w:val="0040611C"/>
    <w:rsid w:val="0040637F"/>
    <w:rsid w:val="00406959"/>
    <w:rsid w:val="00406D34"/>
    <w:rsid w:val="00406E6D"/>
    <w:rsid w:val="00407037"/>
    <w:rsid w:val="004074AD"/>
    <w:rsid w:val="004075C5"/>
    <w:rsid w:val="00407D30"/>
    <w:rsid w:val="00410B14"/>
    <w:rsid w:val="00410F73"/>
    <w:rsid w:val="004111EF"/>
    <w:rsid w:val="0041139C"/>
    <w:rsid w:val="00411562"/>
    <w:rsid w:val="0041175A"/>
    <w:rsid w:val="004122C2"/>
    <w:rsid w:val="00412664"/>
    <w:rsid w:val="00412858"/>
    <w:rsid w:val="004129E8"/>
    <w:rsid w:val="00412A99"/>
    <w:rsid w:val="00412C74"/>
    <w:rsid w:val="00412EF5"/>
    <w:rsid w:val="00412FD2"/>
    <w:rsid w:val="004135C3"/>
    <w:rsid w:val="004135E8"/>
    <w:rsid w:val="00413E03"/>
    <w:rsid w:val="00413E19"/>
    <w:rsid w:val="00413F2D"/>
    <w:rsid w:val="0041446F"/>
    <w:rsid w:val="00414C8A"/>
    <w:rsid w:val="00414C96"/>
    <w:rsid w:val="00414F5E"/>
    <w:rsid w:val="00415306"/>
    <w:rsid w:val="0041538F"/>
    <w:rsid w:val="004153D7"/>
    <w:rsid w:val="0041540C"/>
    <w:rsid w:val="00415CE9"/>
    <w:rsid w:val="00416D2E"/>
    <w:rsid w:val="00416F87"/>
    <w:rsid w:val="0041746E"/>
    <w:rsid w:val="004176D1"/>
    <w:rsid w:val="00417AC6"/>
    <w:rsid w:val="00417E22"/>
    <w:rsid w:val="00417F59"/>
    <w:rsid w:val="00420174"/>
    <w:rsid w:val="00420369"/>
    <w:rsid w:val="00420894"/>
    <w:rsid w:val="00420CDB"/>
    <w:rsid w:val="00421069"/>
    <w:rsid w:val="00421114"/>
    <w:rsid w:val="0042142E"/>
    <w:rsid w:val="004216CA"/>
    <w:rsid w:val="0042206A"/>
    <w:rsid w:val="00422832"/>
    <w:rsid w:val="004228B8"/>
    <w:rsid w:val="00422AC8"/>
    <w:rsid w:val="0042465B"/>
    <w:rsid w:val="0042472F"/>
    <w:rsid w:val="004247F1"/>
    <w:rsid w:val="00425010"/>
    <w:rsid w:val="0042507F"/>
    <w:rsid w:val="00425DAD"/>
    <w:rsid w:val="0042602A"/>
    <w:rsid w:val="00426601"/>
    <w:rsid w:val="00426970"/>
    <w:rsid w:val="00426CAF"/>
    <w:rsid w:val="00427325"/>
    <w:rsid w:val="004279C9"/>
    <w:rsid w:val="00427ADB"/>
    <w:rsid w:val="004306CF"/>
    <w:rsid w:val="0043097D"/>
    <w:rsid w:val="00431171"/>
    <w:rsid w:val="004311F7"/>
    <w:rsid w:val="004315A4"/>
    <w:rsid w:val="0043174D"/>
    <w:rsid w:val="004329B3"/>
    <w:rsid w:val="0043418D"/>
    <w:rsid w:val="00434318"/>
    <w:rsid w:val="00434586"/>
    <w:rsid w:val="00434659"/>
    <w:rsid w:val="0043465D"/>
    <w:rsid w:val="004346D4"/>
    <w:rsid w:val="00434725"/>
    <w:rsid w:val="00434C00"/>
    <w:rsid w:val="00434D3D"/>
    <w:rsid w:val="0043559C"/>
    <w:rsid w:val="004357EE"/>
    <w:rsid w:val="00435B2C"/>
    <w:rsid w:val="00435C9A"/>
    <w:rsid w:val="004362EB"/>
    <w:rsid w:val="0043649A"/>
    <w:rsid w:val="00436B94"/>
    <w:rsid w:val="00436E62"/>
    <w:rsid w:val="004402E4"/>
    <w:rsid w:val="0044162F"/>
    <w:rsid w:val="00441A7F"/>
    <w:rsid w:val="00441F8D"/>
    <w:rsid w:val="00442070"/>
    <w:rsid w:val="00442AA3"/>
    <w:rsid w:val="00442B71"/>
    <w:rsid w:val="00443200"/>
    <w:rsid w:val="0044353F"/>
    <w:rsid w:val="0044375C"/>
    <w:rsid w:val="00443814"/>
    <w:rsid w:val="004439E7"/>
    <w:rsid w:val="0044460D"/>
    <w:rsid w:val="00444721"/>
    <w:rsid w:val="004449B8"/>
    <w:rsid w:val="004450EF"/>
    <w:rsid w:val="00445101"/>
    <w:rsid w:val="00445479"/>
    <w:rsid w:val="00445A96"/>
    <w:rsid w:val="00445C13"/>
    <w:rsid w:val="00445D98"/>
    <w:rsid w:val="004462AA"/>
    <w:rsid w:val="00446C02"/>
    <w:rsid w:val="00447213"/>
    <w:rsid w:val="0044741B"/>
    <w:rsid w:val="00447AC7"/>
    <w:rsid w:val="00447D92"/>
    <w:rsid w:val="00450B3D"/>
    <w:rsid w:val="00450CCC"/>
    <w:rsid w:val="00451297"/>
    <w:rsid w:val="0045140A"/>
    <w:rsid w:val="004514B7"/>
    <w:rsid w:val="004517C9"/>
    <w:rsid w:val="00451A8A"/>
    <w:rsid w:val="00452385"/>
    <w:rsid w:val="00453723"/>
    <w:rsid w:val="00453733"/>
    <w:rsid w:val="0045373D"/>
    <w:rsid w:val="0045436E"/>
    <w:rsid w:val="0045453C"/>
    <w:rsid w:val="004546DD"/>
    <w:rsid w:val="00454F51"/>
    <w:rsid w:val="004551DB"/>
    <w:rsid w:val="00455A48"/>
    <w:rsid w:val="00455B7F"/>
    <w:rsid w:val="00455F5A"/>
    <w:rsid w:val="00456297"/>
    <w:rsid w:val="00456467"/>
    <w:rsid w:val="004564E7"/>
    <w:rsid w:val="00456AA1"/>
    <w:rsid w:val="00456C76"/>
    <w:rsid w:val="00457387"/>
    <w:rsid w:val="004573A6"/>
    <w:rsid w:val="004575F0"/>
    <w:rsid w:val="0045788B"/>
    <w:rsid w:val="00460750"/>
    <w:rsid w:val="00460CFA"/>
    <w:rsid w:val="00460D2E"/>
    <w:rsid w:val="00460D59"/>
    <w:rsid w:val="00460E87"/>
    <w:rsid w:val="0046143F"/>
    <w:rsid w:val="004616AE"/>
    <w:rsid w:val="00461EA4"/>
    <w:rsid w:val="00462755"/>
    <w:rsid w:val="004627DC"/>
    <w:rsid w:val="004628FC"/>
    <w:rsid w:val="00462CF8"/>
    <w:rsid w:val="00463247"/>
    <w:rsid w:val="00463595"/>
    <w:rsid w:val="00464961"/>
    <w:rsid w:val="00464D86"/>
    <w:rsid w:val="00465388"/>
    <w:rsid w:val="00465615"/>
    <w:rsid w:val="00465895"/>
    <w:rsid w:val="00466650"/>
    <w:rsid w:val="004669E6"/>
    <w:rsid w:val="00466BF4"/>
    <w:rsid w:val="00467131"/>
    <w:rsid w:val="00467696"/>
    <w:rsid w:val="004676FE"/>
    <w:rsid w:val="0046799E"/>
    <w:rsid w:val="00470183"/>
    <w:rsid w:val="00470207"/>
    <w:rsid w:val="00470657"/>
    <w:rsid w:val="00470A58"/>
    <w:rsid w:val="0047142F"/>
    <w:rsid w:val="00471A7D"/>
    <w:rsid w:val="00471A8C"/>
    <w:rsid w:val="00472C69"/>
    <w:rsid w:val="00472F51"/>
    <w:rsid w:val="00473AFD"/>
    <w:rsid w:val="00473E7E"/>
    <w:rsid w:val="00474181"/>
    <w:rsid w:val="004742CA"/>
    <w:rsid w:val="004746AD"/>
    <w:rsid w:val="00474AEC"/>
    <w:rsid w:val="00474B06"/>
    <w:rsid w:val="00474B36"/>
    <w:rsid w:val="00475005"/>
    <w:rsid w:val="0047532C"/>
    <w:rsid w:val="0047578D"/>
    <w:rsid w:val="00475836"/>
    <w:rsid w:val="00475A33"/>
    <w:rsid w:val="00475A70"/>
    <w:rsid w:val="00475AC9"/>
    <w:rsid w:val="00476BF2"/>
    <w:rsid w:val="00476C43"/>
    <w:rsid w:val="004778D6"/>
    <w:rsid w:val="0048006D"/>
    <w:rsid w:val="00480190"/>
    <w:rsid w:val="004801AD"/>
    <w:rsid w:val="004801EE"/>
    <w:rsid w:val="0048037E"/>
    <w:rsid w:val="00480C9D"/>
    <w:rsid w:val="00480E53"/>
    <w:rsid w:val="00481311"/>
    <w:rsid w:val="004815C4"/>
    <w:rsid w:val="00481815"/>
    <w:rsid w:val="00481B5C"/>
    <w:rsid w:val="00481DDC"/>
    <w:rsid w:val="004823AD"/>
    <w:rsid w:val="00482613"/>
    <w:rsid w:val="004828CA"/>
    <w:rsid w:val="00483068"/>
    <w:rsid w:val="0048356B"/>
    <w:rsid w:val="004836C9"/>
    <w:rsid w:val="00483CEA"/>
    <w:rsid w:val="004840B1"/>
    <w:rsid w:val="004842FA"/>
    <w:rsid w:val="004845B9"/>
    <w:rsid w:val="00484612"/>
    <w:rsid w:val="00484874"/>
    <w:rsid w:val="00484A3A"/>
    <w:rsid w:val="00484B3E"/>
    <w:rsid w:val="00484E23"/>
    <w:rsid w:val="004851B2"/>
    <w:rsid w:val="004853A6"/>
    <w:rsid w:val="00485831"/>
    <w:rsid w:val="0048616F"/>
    <w:rsid w:val="0048679D"/>
    <w:rsid w:val="00486D82"/>
    <w:rsid w:val="0048732F"/>
    <w:rsid w:val="00487823"/>
    <w:rsid w:val="0049093C"/>
    <w:rsid w:val="00491049"/>
    <w:rsid w:val="00491090"/>
    <w:rsid w:val="0049128C"/>
    <w:rsid w:val="004912FD"/>
    <w:rsid w:val="00491397"/>
    <w:rsid w:val="004917DC"/>
    <w:rsid w:val="00491DA2"/>
    <w:rsid w:val="00491EE1"/>
    <w:rsid w:val="004921FF"/>
    <w:rsid w:val="0049225C"/>
    <w:rsid w:val="0049237D"/>
    <w:rsid w:val="004926B1"/>
    <w:rsid w:val="0049274F"/>
    <w:rsid w:val="00492803"/>
    <w:rsid w:val="00492E38"/>
    <w:rsid w:val="00492E81"/>
    <w:rsid w:val="00492F0D"/>
    <w:rsid w:val="00493490"/>
    <w:rsid w:val="004935BD"/>
    <w:rsid w:val="00493990"/>
    <w:rsid w:val="00493B2E"/>
    <w:rsid w:val="00494087"/>
    <w:rsid w:val="00494257"/>
    <w:rsid w:val="004943C8"/>
    <w:rsid w:val="00494C72"/>
    <w:rsid w:val="0049573E"/>
    <w:rsid w:val="004957D4"/>
    <w:rsid w:val="00495931"/>
    <w:rsid w:val="00495F3A"/>
    <w:rsid w:val="004966DF"/>
    <w:rsid w:val="00496D41"/>
    <w:rsid w:val="00497DD6"/>
    <w:rsid w:val="004A067B"/>
    <w:rsid w:val="004A139A"/>
    <w:rsid w:val="004A1596"/>
    <w:rsid w:val="004A1783"/>
    <w:rsid w:val="004A1925"/>
    <w:rsid w:val="004A1929"/>
    <w:rsid w:val="004A19D3"/>
    <w:rsid w:val="004A2285"/>
    <w:rsid w:val="004A22A5"/>
    <w:rsid w:val="004A2479"/>
    <w:rsid w:val="004A2521"/>
    <w:rsid w:val="004A2659"/>
    <w:rsid w:val="004A3DD5"/>
    <w:rsid w:val="004A3E0F"/>
    <w:rsid w:val="004A419B"/>
    <w:rsid w:val="004A4873"/>
    <w:rsid w:val="004A4DBD"/>
    <w:rsid w:val="004A53B6"/>
    <w:rsid w:val="004A54A3"/>
    <w:rsid w:val="004A5F02"/>
    <w:rsid w:val="004A6108"/>
    <w:rsid w:val="004A6135"/>
    <w:rsid w:val="004A63C5"/>
    <w:rsid w:val="004A6598"/>
    <w:rsid w:val="004A6CB7"/>
    <w:rsid w:val="004A7009"/>
    <w:rsid w:val="004A743C"/>
    <w:rsid w:val="004A7D89"/>
    <w:rsid w:val="004B00D6"/>
    <w:rsid w:val="004B0504"/>
    <w:rsid w:val="004B0786"/>
    <w:rsid w:val="004B0B94"/>
    <w:rsid w:val="004B11FE"/>
    <w:rsid w:val="004B1330"/>
    <w:rsid w:val="004B15BD"/>
    <w:rsid w:val="004B2114"/>
    <w:rsid w:val="004B28F7"/>
    <w:rsid w:val="004B2ADC"/>
    <w:rsid w:val="004B2BA0"/>
    <w:rsid w:val="004B2F43"/>
    <w:rsid w:val="004B3120"/>
    <w:rsid w:val="004B39B6"/>
    <w:rsid w:val="004B3A12"/>
    <w:rsid w:val="004B4019"/>
    <w:rsid w:val="004B407B"/>
    <w:rsid w:val="004B410E"/>
    <w:rsid w:val="004B420F"/>
    <w:rsid w:val="004B456E"/>
    <w:rsid w:val="004B4B0A"/>
    <w:rsid w:val="004B56F6"/>
    <w:rsid w:val="004B5821"/>
    <w:rsid w:val="004B5E87"/>
    <w:rsid w:val="004B630B"/>
    <w:rsid w:val="004B63AE"/>
    <w:rsid w:val="004B6B8E"/>
    <w:rsid w:val="004B7566"/>
    <w:rsid w:val="004C02E3"/>
    <w:rsid w:val="004C0340"/>
    <w:rsid w:val="004C06A1"/>
    <w:rsid w:val="004C087C"/>
    <w:rsid w:val="004C0CE3"/>
    <w:rsid w:val="004C1079"/>
    <w:rsid w:val="004C110F"/>
    <w:rsid w:val="004C1ED2"/>
    <w:rsid w:val="004C2260"/>
    <w:rsid w:val="004C2628"/>
    <w:rsid w:val="004C281D"/>
    <w:rsid w:val="004C2852"/>
    <w:rsid w:val="004C2F3D"/>
    <w:rsid w:val="004C30DE"/>
    <w:rsid w:val="004C337B"/>
    <w:rsid w:val="004C3486"/>
    <w:rsid w:val="004C46D1"/>
    <w:rsid w:val="004C4E9F"/>
    <w:rsid w:val="004C5211"/>
    <w:rsid w:val="004C522A"/>
    <w:rsid w:val="004C5585"/>
    <w:rsid w:val="004C5BE5"/>
    <w:rsid w:val="004C60F5"/>
    <w:rsid w:val="004C641A"/>
    <w:rsid w:val="004C65E8"/>
    <w:rsid w:val="004C6E94"/>
    <w:rsid w:val="004C6FAD"/>
    <w:rsid w:val="004C7C9B"/>
    <w:rsid w:val="004C7D64"/>
    <w:rsid w:val="004D0153"/>
    <w:rsid w:val="004D023A"/>
    <w:rsid w:val="004D033A"/>
    <w:rsid w:val="004D088E"/>
    <w:rsid w:val="004D08E3"/>
    <w:rsid w:val="004D095E"/>
    <w:rsid w:val="004D0A45"/>
    <w:rsid w:val="004D0FD4"/>
    <w:rsid w:val="004D226B"/>
    <w:rsid w:val="004D37E0"/>
    <w:rsid w:val="004D3B70"/>
    <w:rsid w:val="004D3D4A"/>
    <w:rsid w:val="004D3E94"/>
    <w:rsid w:val="004D42CE"/>
    <w:rsid w:val="004D465A"/>
    <w:rsid w:val="004D4A71"/>
    <w:rsid w:val="004D4B6E"/>
    <w:rsid w:val="004D5042"/>
    <w:rsid w:val="004D5A64"/>
    <w:rsid w:val="004D6322"/>
    <w:rsid w:val="004D6399"/>
    <w:rsid w:val="004D639D"/>
    <w:rsid w:val="004D6A51"/>
    <w:rsid w:val="004D6F6E"/>
    <w:rsid w:val="004D71D0"/>
    <w:rsid w:val="004D7C6E"/>
    <w:rsid w:val="004D7E2C"/>
    <w:rsid w:val="004E01CF"/>
    <w:rsid w:val="004E03A5"/>
    <w:rsid w:val="004E0DDB"/>
    <w:rsid w:val="004E111B"/>
    <w:rsid w:val="004E149B"/>
    <w:rsid w:val="004E14DF"/>
    <w:rsid w:val="004E15C9"/>
    <w:rsid w:val="004E1659"/>
    <w:rsid w:val="004E1769"/>
    <w:rsid w:val="004E17F5"/>
    <w:rsid w:val="004E1DFE"/>
    <w:rsid w:val="004E1E86"/>
    <w:rsid w:val="004E25D0"/>
    <w:rsid w:val="004E2C3A"/>
    <w:rsid w:val="004E2F7A"/>
    <w:rsid w:val="004E31B3"/>
    <w:rsid w:val="004E336B"/>
    <w:rsid w:val="004E3417"/>
    <w:rsid w:val="004E3612"/>
    <w:rsid w:val="004E3BB0"/>
    <w:rsid w:val="004E3F72"/>
    <w:rsid w:val="004E44F2"/>
    <w:rsid w:val="004E47C8"/>
    <w:rsid w:val="004E480D"/>
    <w:rsid w:val="004E4DF8"/>
    <w:rsid w:val="004E5126"/>
    <w:rsid w:val="004E525C"/>
    <w:rsid w:val="004E5BD1"/>
    <w:rsid w:val="004E5F31"/>
    <w:rsid w:val="004E65D1"/>
    <w:rsid w:val="004E6928"/>
    <w:rsid w:val="004E6AEC"/>
    <w:rsid w:val="004E6C9C"/>
    <w:rsid w:val="004E7872"/>
    <w:rsid w:val="004E7BB7"/>
    <w:rsid w:val="004F00D2"/>
    <w:rsid w:val="004F02AB"/>
    <w:rsid w:val="004F059C"/>
    <w:rsid w:val="004F0969"/>
    <w:rsid w:val="004F22C6"/>
    <w:rsid w:val="004F25B4"/>
    <w:rsid w:val="004F2ED7"/>
    <w:rsid w:val="004F31A3"/>
    <w:rsid w:val="004F322D"/>
    <w:rsid w:val="004F32A0"/>
    <w:rsid w:val="004F3B05"/>
    <w:rsid w:val="004F46CC"/>
    <w:rsid w:val="004F4DAA"/>
    <w:rsid w:val="004F5250"/>
    <w:rsid w:val="004F549E"/>
    <w:rsid w:val="004F5876"/>
    <w:rsid w:val="004F5925"/>
    <w:rsid w:val="004F5AC9"/>
    <w:rsid w:val="004F60E6"/>
    <w:rsid w:val="004F6240"/>
    <w:rsid w:val="004F6252"/>
    <w:rsid w:val="004F6A0B"/>
    <w:rsid w:val="004F7668"/>
    <w:rsid w:val="004F76BD"/>
    <w:rsid w:val="004F782D"/>
    <w:rsid w:val="004F7930"/>
    <w:rsid w:val="004F7F32"/>
    <w:rsid w:val="005000DE"/>
    <w:rsid w:val="005007B9"/>
    <w:rsid w:val="005008E8"/>
    <w:rsid w:val="00500A52"/>
    <w:rsid w:val="00500C93"/>
    <w:rsid w:val="00500EA7"/>
    <w:rsid w:val="00501C76"/>
    <w:rsid w:val="005027C8"/>
    <w:rsid w:val="005028D8"/>
    <w:rsid w:val="00502BBA"/>
    <w:rsid w:val="00502EDE"/>
    <w:rsid w:val="00502F17"/>
    <w:rsid w:val="005031D6"/>
    <w:rsid w:val="00503EDC"/>
    <w:rsid w:val="00504106"/>
    <w:rsid w:val="005043AA"/>
    <w:rsid w:val="00504804"/>
    <w:rsid w:val="00504C9C"/>
    <w:rsid w:val="00505A0C"/>
    <w:rsid w:val="005064FB"/>
    <w:rsid w:val="00506502"/>
    <w:rsid w:val="00506A7B"/>
    <w:rsid w:val="00506C15"/>
    <w:rsid w:val="00506F31"/>
    <w:rsid w:val="00507022"/>
    <w:rsid w:val="005077BF"/>
    <w:rsid w:val="00510162"/>
    <w:rsid w:val="005105AC"/>
    <w:rsid w:val="00510BC2"/>
    <w:rsid w:val="00510C79"/>
    <w:rsid w:val="00511168"/>
    <w:rsid w:val="005114B0"/>
    <w:rsid w:val="00511CC2"/>
    <w:rsid w:val="00511E01"/>
    <w:rsid w:val="005121E5"/>
    <w:rsid w:val="0051264B"/>
    <w:rsid w:val="00512B29"/>
    <w:rsid w:val="00512D9B"/>
    <w:rsid w:val="005131D4"/>
    <w:rsid w:val="00513278"/>
    <w:rsid w:val="005133E9"/>
    <w:rsid w:val="005136B1"/>
    <w:rsid w:val="00513722"/>
    <w:rsid w:val="00513864"/>
    <w:rsid w:val="005139D2"/>
    <w:rsid w:val="00513BC3"/>
    <w:rsid w:val="00513BCE"/>
    <w:rsid w:val="00513E8D"/>
    <w:rsid w:val="00514B92"/>
    <w:rsid w:val="00514F59"/>
    <w:rsid w:val="00515B02"/>
    <w:rsid w:val="00515B26"/>
    <w:rsid w:val="00515C09"/>
    <w:rsid w:val="00515E1F"/>
    <w:rsid w:val="005162D8"/>
    <w:rsid w:val="00516D22"/>
    <w:rsid w:val="00516EC0"/>
    <w:rsid w:val="00517202"/>
    <w:rsid w:val="005176A8"/>
    <w:rsid w:val="00517857"/>
    <w:rsid w:val="00517E10"/>
    <w:rsid w:val="00517F41"/>
    <w:rsid w:val="0052030A"/>
    <w:rsid w:val="005205BC"/>
    <w:rsid w:val="00521175"/>
    <w:rsid w:val="0052143A"/>
    <w:rsid w:val="0052164B"/>
    <w:rsid w:val="00521864"/>
    <w:rsid w:val="00521DB8"/>
    <w:rsid w:val="00522434"/>
    <w:rsid w:val="005225C7"/>
    <w:rsid w:val="00522A22"/>
    <w:rsid w:val="00522B47"/>
    <w:rsid w:val="00522F22"/>
    <w:rsid w:val="0052311C"/>
    <w:rsid w:val="0052330F"/>
    <w:rsid w:val="005233B0"/>
    <w:rsid w:val="0052344C"/>
    <w:rsid w:val="0052363A"/>
    <w:rsid w:val="0052392D"/>
    <w:rsid w:val="00523F0F"/>
    <w:rsid w:val="00523F14"/>
    <w:rsid w:val="00524523"/>
    <w:rsid w:val="005248C0"/>
    <w:rsid w:val="0052499B"/>
    <w:rsid w:val="005256E9"/>
    <w:rsid w:val="00525B1D"/>
    <w:rsid w:val="00525BF8"/>
    <w:rsid w:val="00525DB8"/>
    <w:rsid w:val="00525ECB"/>
    <w:rsid w:val="00526004"/>
    <w:rsid w:val="00526122"/>
    <w:rsid w:val="005270C9"/>
    <w:rsid w:val="00527149"/>
    <w:rsid w:val="005274D4"/>
    <w:rsid w:val="005279DB"/>
    <w:rsid w:val="00527C32"/>
    <w:rsid w:val="00530114"/>
    <w:rsid w:val="005304EE"/>
    <w:rsid w:val="00530D5E"/>
    <w:rsid w:val="00530F5F"/>
    <w:rsid w:val="0053146D"/>
    <w:rsid w:val="005316CD"/>
    <w:rsid w:val="0053197E"/>
    <w:rsid w:val="00531AA0"/>
    <w:rsid w:val="00533031"/>
    <w:rsid w:val="00533EE0"/>
    <w:rsid w:val="00533F43"/>
    <w:rsid w:val="005340D2"/>
    <w:rsid w:val="0053468F"/>
    <w:rsid w:val="005349AD"/>
    <w:rsid w:val="00534B9F"/>
    <w:rsid w:val="00534BA9"/>
    <w:rsid w:val="00534CF6"/>
    <w:rsid w:val="00535419"/>
    <w:rsid w:val="0053577E"/>
    <w:rsid w:val="005360DD"/>
    <w:rsid w:val="005363C3"/>
    <w:rsid w:val="0053651E"/>
    <w:rsid w:val="00536F10"/>
    <w:rsid w:val="0053706C"/>
    <w:rsid w:val="0053755E"/>
    <w:rsid w:val="00537570"/>
    <w:rsid w:val="00537A78"/>
    <w:rsid w:val="005403AB"/>
    <w:rsid w:val="0054046F"/>
    <w:rsid w:val="005407A8"/>
    <w:rsid w:val="00540A5F"/>
    <w:rsid w:val="00540F04"/>
    <w:rsid w:val="00541355"/>
    <w:rsid w:val="00542146"/>
    <w:rsid w:val="00542567"/>
    <w:rsid w:val="00542693"/>
    <w:rsid w:val="00542AB3"/>
    <w:rsid w:val="00542D35"/>
    <w:rsid w:val="00542F11"/>
    <w:rsid w:val="005439A7"/>
    <w:rsid w:val="00543AA4"/>
    <w:rsid w:val="0054421F"/>
    <w:rsid w:val="00545584"/>
    <w:rsid w:val="00545736"/>
    <w:rsid w:val="00546CD4"/>
    <w:rsid w:val="00546FD6"/>
    <w:rsid w:val="005474F8"/>
    <w:rsid w:val="005478AA"/>
    <w:rsid w:val="00547A15"/>
    <w:rsid w:val="00547F19"/>
    <w:rsid w:val="00550101"/>
    <w:rsid w:val="00550193"/>
    <w:rsid w:val="00550B61"/>
    <w:rsid w:val="00550BD3"/>
    <w:rsid w:val="00550EEE"/>
    <w:rsid w:val="00551009"/>
    <w:rsid w:val="0055101F"/>
    <w:rsid w:val="00551149"/>
    <w:rsid w:val="005514E1"/>
    <w:rsid w:val="00551522"/>
    <w:rsid w:val="00551825"/>
    <w:rsid w:val="005518BA"/>
    <w:rsid w:val="0055284D"/>
    <w:rsid w:val="0055288F"/>
    <w:rsid w:val="0055298C"/>
    <w:rsid w:val="00552FD7"/>
    <w:rsid w:val="00553023"/>
    <w:rsid w:val="0055308D"/>
    <w:rsid w:val="005531B5"/>
    <w:rsid w:val="005532B7"/>
    <w:rsid w:val="005535A3"/>
    <w:rsid w:val="005535AE"/>
    <w:rsid w:val="00553CB3"/>
    <w:rsid w:val="00554192"/>
    <w:rsid w:val="00554263"/>
    <w:rsid w:val="00554304"/>
    <w:rsid w:val="005549DA"/>
    <w:rsid w:val="00554EFA"/>
    <w:rsid w:val="00554FBC"/>
    <w:rsid w:val="00555FB3"/>
    <w:rsid w:val="005560F5"/>
    <w:rsid w:val="00556744"/>
    <w:rsid w:val="0055721D"/>
    <w:rsid w:val="00557348"/>
    <w:rsid w:val="005576D4"/>
    <w:rsid w:val="0055770F"/>
    <w:rsid w:val="00557A2B"/>
    <w:rsid w:val="00557DEB"/>
    <w:rsid w:val="005603C4"/>
    <w:rsid w:val="0056047A"/>
    <w:rsid w:val="0056088D"/>
    <w:rsid w:val="00560F6F"/>
    <w:rsid w:val="00561279"/>
    <w:rsid w:val="00561328"/>
    <w:rsid w:val="00561A05"/>
    <w:rsid w:val="00561C15"/>
    <w:rsid w:val="0056236C"/>
    <w:rsid w:val="0056292E"/>
    <w:rsid w:val="00562B87"/>
    <w:rsid w:val="00562D19"/>
    <w:rsid w:val="00562FD2"/>
    <w:rsid w:val="00563450"/>
    <w:rsid w:val="00563482"/>
    <w:rsid w:val="00563F1C"/>
    <w:rsid w:val="0056405F"/>
    <w:rsid w:val="0056466E"/>
    <w:rsid w:val="005646D4"/>
    <w:rsid w:val="00564A19"/>
    <w:rsid w:val="00564D1E"/>
    <w:rsid w:val="00564F70"/>
    <w:rsid w:val="0056537A"/>
    <w:rsid w:val="00565D2F"/>
    <w:rsid w:val="005668D0"/>
    <w:rsid w:val="00566A27"/>
    <w:rsid w:val="00566B12"/>
    <w:rsid w:val="00566CC7"/>
    <w:rsid w:val="005672D9"/>
    <w:rsid w:val="005676A2"/>
    <w:rsid w:val="0056781E"/>
    <w:rsid w:val="0056791A"/>
    <w:rsid w:val="005702D5"/>
    <w:rsid w:val="00570489"/>
    <w:rsid w:val="00570A81"/>
    <w:rsid w:val="00571A92"/>
    <w:rsid w:val="00571AA0"/>
    <w:rsid w:val="005725AF"/>
    <w:rsid w:val="00572A76"/>
    <w:rsid w:val="005731FF"/>
    <w:rsid w:val="005732DD"/>
    <w:rsid w:val="005739BC"/>
    <w:rsid w:val="00573B2C"/>
    <w:rsid w:val="00573D8F"/>
    <w:rsid w:val="00574307"/>
    <w:rsid w:val="0057463F"/>
    <w:rsid w:val="00574704"/>
    <w:rsid w:val="00574709"/>
    <w:rsid w:val="00574FC6"/>
    <w:rsid w:val="00575D27"/>
    <w:rsid w:val="0057616B"/>
    <w:rsid w:val="0057694A"/>
    <w:rsid w:val="00576A80"/>
    <w:rsid w:val="00576B7A"/>
    <w:rsid w:val="00576E3A"/>
    <w:rsid w:val="00576E75"/>
    <w:rsid w:val="0057737A"/>
    <w:rsid w:val="0057741C"/>
    <w:rsid w:val="00577759"/>
    <w:rsid w:val="0057792D"/>
    <w:rsid w:val="005805EF"/>
    <w:rsid w:val="005810AE"/>
    <w:rsid w:val="005813E9"/>
    <w:rsid w:val="005813F4"/>
    <w:rsid w:val="005814EE"/>
    <w:rsid w:val="00581691"/>
    <w:rsid w:val="005817BC"/>
    <w:rsid w:val="005818D3"/>
    <w:rsid w:val="00581CD3"/>
    <w:rsid w:val="00581F01"/>
    <w:rsid w:val="00582043"/>
    <w:rsid w:val="0058251E"/>
    <w:rsid w:val="00582B00"/>
    <w:rsid w:val="005830AF"/>
    <w:rsid w:val="00583A11"/>
    <w:rsid w:val="00584A1A"/>
    <w:rsid w:val="00584B2B"/>
    <w:rsid w:val="00584FD3"/>
    <w:rsid w:val="005858C9"/>
    <w:rsid w:val="0058593A"/>
    <w:rsid w:val="00585C4F"/>
    <w:rsid w:val="00585EDC"/>
    <w:rsid w:val="00586316"/>
    <w:rsid w:val="00587071"/>
    <w:rsid w:val="00587894"/>
    <w:rsid w:val="00587D48"/>
    <w:rsid w:val="00587ECC"/>
    <w:rsid w:val="00590399"/>
    <w:rsid w:val="00590428"/>
    <w:rsid w:val="0059055D"/>
    <w:rsid w:val="005909B5"/>
    <w:rsid w:val="00590BB4"/>
    <w:rsid w:val="00590E41"/>
    <w:rsid w:val="00590EB9"/>
    <w:rsid w:val="0059129C"/>
    <w:rsid w:val="005913D6"/>
    <w:rsid w:val="005921A9"/>
    <w:rsid w:val="00592267"/>
    <w:rsid w:val="005922B8"/>
    <w:rsid w:val="00594C9E"/>
    <w:rsid w:val="005958A5"/>
    <w:rsid w:val="00595E75"/>
    <w:rsid w:val="00596903"/>
    <w:rsid w:val="00597593"/>
    <w:rsid w:val="0059777C"/>
    <w:rsid w:val="0059778A"/>
    <w:rsid w:val="0059778C"/>
    <w:rsid w:val="0059780C"/>
    <w:rsid w:val="00597E3D"/>
    <w:rsid w:val="005A03E9"/>
    <w:rsid w:val="005A0887"/>
    <w:rsid w:val="005A0C56"/>
    <w:rsid w:val="005A0C84"/>
    <w:rsid w:val="005A0EC9"/>
    <w:rsid w:val="005A109E"/>
    <w:rsid w:val="005A12BA"/>
    <w:rsid w:val="005A12DF"/>
    <w:rsid w:val="005A12F3"/>
    <w:rsid w:val="005A18F0"/>
    <w:rsid w:val="005A1BC8"/>
    <w:rsid w:val="005A1FA8"/>
    <w:rsid w:val="005A2312"/>
    <w:rsid w:val="005A2F9E"/>
    <w:rsid w:val="005A3250"/>
    <w:rsid w:val="005A3727"/>
    <w:rsid w:val="005A3E57"/>
    <w:rsid w:val="005A3EE8"/>
    <w:rsid w:val="005A466B"/>
    <w:rsid w:val="005A46E6"/>
    <w:rsid w:val="005A4D4F"/>
    <w:rsid w:val="005A5281"/>
    <w:rsid w:val="005A55D8"/>
    <w:rsid w:val="005A6102"/>
    <w:rsid w:val="005A675F"/>
    <w:rsid w:val="005A696B"/>
    <w:rsid w:val="005A6A02"/>
    <w:rsid w:val="005A748D"/>
    <w:rsid w:val="005A7615"/>
    <w:rsid w:val="005A76EE"/>
    <w:rsid w:val="005A7C55"/>
    <w:rsid w:val="005A7F07"/>
    <w:rsid w:val="005B02B5"/>
    <w:rsid w:val="005B0322"/>
    <w:rsid w:val="005B0418"/>
    <w:rsid w:val="005B0899"/>
    <w:rsid w:val="005B0945"/>
    <w:rsid w:val="005B09E1"/>
    <w:rsid w:val="005B10AB"/>
    <w:rsid w:val="005B1D7D"/>
    <w:rsid w:val="005B1DC5"/>
    <w:rsid w:val="005B20EB"/>
    <w:rsid w:val="005B26DD"/>
    <w:rsid w:val="005B29EA"/>
    <w:rsid w:val="005B2AA8"/>
    <w:rsid w:val="005B2EAD"/>
    <w:rsid w:val="005B3017"/>
    <w:rsid w:val="005B3032"/>
    <w:rsid w:val="005B35B6"/>
    <w:rsid w:val="005B3726"/>
    <w:rsid w:val="005B3932"/>
    <w:rsid w:val="005B41B8"/>
    <w:rsid w:val="005B431D"/>
    <w:rsid w:val="005B482A"/>
    <w:rsid w:val="005B5191"/>
    <w:rsid w:val="005B5A9C"/>
    <w:rsid w:val="005B5D6C"/>
    <w:rsid w:val="005B6B43"/>
    <w:rsid w:val="005B75B0"/>
    <w:rsid w:val="005B7683"/>
    <w:rsid w:val="005B7C14"/>
    <w:rsid w:val="005B7D3D"/>
    <w:rsid w:val="005C0053"/>
    <w:rsid w:val="005C04AD"/>
    <w:rsid w:val="005C0579"/>
    <w:rsid w:val="005C1049"/>
    <w:rsid w:val="005C1816"/>
    <w:rsid w:val="005C24E9"/>
    <w:rsid w:val="005C29AC"/>
    <w:rsid w:val="005C2F2F"/>
    <w:rsid w:val="005C3030"/>
    <w:rsid w:val="005C3A3E"/>
    <w:rsid w:val="005C3EDF"/>
    <w:rsid w:val="005C4248"/>
    <w:rsid w:val="005C47EB"/>
    <w:rsid w:val="005C4A03"/>
    <w:rsid w:val="005C4F2B"/>
    <w:rsid w:val="005C507E"/>
    <w:rsid w:val="005C5E3B"/>
    <w:rsid w:val="005C61D2"/>
    <w:rsid w:val="005C6C57"/>
    <w:rsid w:val="005C763D"/>
    <w:rsid w:val="005C79CD"/>
    <w:rsid w:val="005D024A"/>
    <w:rsid w:val="005D074E"/>
    <w:rsid w:val="005D157F"/>
    <w:rsid w:val="005D1623"/>
    <w:rsid w:val="005D19E5"/>
    <w:rsid w:val="005D1BAA"/>
    <w:rsid w:val="005D1E26"/>
    <w:rsid w:val="005D1F45"/>
    <w:rsid w:val="005D2317"/>
    <w:rsid w:val="005D2318"/>
    <w:rsid w:val="005D2AA8"/>
    <w:rsid w:val="005D305C"/>
    <w:rsid w:val="005D317F"/>
    <w:rsid w:val="005D3452"/>
    <w:rsid w:val="005D3622"/>
    <w:rsid w:val="005D3738"/>
    <w:rsid w:val="005D37CB"/>
    <w:rsid w:val="005D3FC9"/>
    <w:rsid w:val="005D48FD"/>
    <w:rsid w:val="005D4A31"/>
    <w:rsid w:val="005D50D2"/>
    <w:rsid w:val="005D5442"/>
    <w:rsid w:val="005D592D"/>
    <w:rsid w:val="005D59EE"/>
    <w:rsid w:val="005D5DBE"/>
    <w:rsid w:val="005D5EFE"/>
    <w:rsid w:val="005D6213"/>
    <w:rsid w:val="005D6261"/>
    <w:rsid w:val="005D6331"/>
    <w:rsid w:val="005D633A"/>
    <w:rsid w:val="005D6376"/>
    <w:rsid w:val="005D6483"/>
    <w:rsid w:val="005D652C"/>
    <w:rsid w:val="005D6D06"/>
    <w:rsid w:val="005D6D7A"/>
    <w:rsid w:val="005D72B6"/>
    <w:rsid w:val="005D747A"/>
    <w:rsid w:val="005D75A7"/>
    <w:rsid w:val="005D77BF"/>
    <w:rsid w:val="005D78DF"/>
    <w:rsid w:val="005E006A"/>
    <w:rsid w:val="005E0D47"/>
    <w:rsid w:val="005E0F66"/>
    <w:rsid w:val="005E1012"/>
    <w:rsid w:val="005E200F"/>
    <w:rsid w:val="005E2B66"/>
    <w:rsid w:val="005E2C65"/>
    <w:rsid w:val="005E3428"/>
    <w:rsid w:val="005E4276"/>
    <w:rsid w:val="005E465C"/>
    <w:rsid w:val="005E496E"/>
    <w:rsid w:val="005E4BB7"/>
    <w:rsid w:val="005E5472"/>
    <w:rsid w:val="005E56E8"/>
    <w:rsid w:val="005E5AB4"/>
    <w:rsid w:val="005E5D29"/>
    <w:rsid w:val="005E5F85"/>
    <w:rsid w:val="005E6081"/>
    <w:rsid w:val="005E6C44"/>
    <w:rsid w:val="005E6E3C"/>
    <w:rsid w:val="005E7020"/>
    <w:rsid w:val="005E7C4C"/>
    <w:rsid w:val="005E7E8A"/>
    <w:rsid w:val="005F02F0"/>
    <w:rsid w:val="005F0362"/>
    <w:rsid w:val="005F062A"/>
    <w:rsid w:val="005F08E0"/>
    <w:rsid w:val="005F0940"/>
    <w:rsid w:val="005F11DB"/>
    <w:rsid w:val="005F17EF"/>
    <w:rsid w:val="005F206C"/>
    <w:rsid w:val="005F2B90"/>
    <w:rsid w:val="005F2F1D"/>
    <w:rsid w:val="005F324B"/>
    <w:rsid w:val="005F3313"/>
    <w:rsid w:val="005F39DB"/>
    <w:rsid w:val="005F3E23"/>
    <w:rsid w:val="005F3E4C"/>
    <w:rsid w:val="005F4587"/>
    <w:rsid w:val="005F4697"/>
    <w:rsid w:val="005F4B3D"/>
    <w:rsid w:val="005F4BA9"/>
    <w:rsid w:val="005F5169"/>
    <w:rsid w:val="005F5606"/>
    <w:rsid w:val="005F5D2C"/>
    <w:rsid w:val="005F748D"/>
    <w:rsid w:val="00600ABE"/>
    <w:rsid w:val="006012B6"/>
    <w:rsid w:val="006013E6"/>
    <w:rsid w:val="006018E7"/>
    <w:rsid w:val="00601A80"/>
    <w:rsid w:val="00602CAE"/>
    <w:rsid w:val="00602E57"/>
    <w:rsid w:val="00602F97"/>
    <w:rsid w:val="00603154"/>
    <w:rsid w:val="0060320F"/>
    <w:rsid w:val="0060383C"/>
    <w:rsid w:val="00603F55"/>
    <w:rsid w:val="00603FBE"/>
    <w:rsid w:val="006040E0"/>
    <w:rsid w:val="006041C3"/>
    <w:rsid w:val="006045B6"/>
    <w:rsid w:val="00604665"/>
    <w:rsid w:val="006046A8"/>
    <w:rsid w:val="0060476E"/>
    <w:rsid w:val="00604959"/>
    <w:rsid w:val="00604BA2"/>
    <w:rsid w:val="00604DB8"/>
    <w:rsid w:val="00604F79"/>
    <w:rsid w:val="006052F9"/>
    <w:rsid w:val="006055BA"/>
    <w:rsid w:val="00605C19"/>
    <w:rsid w:val="00605E18"/>
    <w:rsid w:val="006066E3"/>
    <w:rsid w:val="006068A8"/>
    <w:rsid w:val="00606FDF"/>
    <w:rsid w:val="0060729E"/>
    <w:rsid w:val="00607D0F"/>
    <w:rsid w:val="00610945"/>
    <w:rsid w:val="00611472"/>
    <w:rsid w:val="006119AE"/>
    <w:rsid w:val="006122E3"/>
    <w:rsid w:val="00612DF3"/>
    <w:rsid w:val="00613275"/>
    <w:rsid w:val="0061335E"/>
    <w:rsid w:val="006133E4"/>
    <w:rsid w:val="0061363F"/>
    <w:rsid w:val="00613E93"/>
    <w:rsid w:val="00613EAB"/>
    <w:rsid w:val="00613F84"/>
    <w:rsid w:val="006140B6"/>
    <w:rsid w:val="00614344"/>
    <w:rsid w:val="00614756"/>
    <w:rsid w:val="00615C93"/>
    <w:rsid w:val="0061619A"/>
    <w:rsid w:val="006162EC"/>
    <w:rsid w:val="0061659F"/>
    <w:rsid w:val="00616BF8"/>
    <w:rsid w:val="00616BFC"/>
    <w:rsid w:val="006175A1"/>
    <w:rsid w:val="00617837"/>
    <w:rsid w:val="006178EC"/>
    <w:rsid w:val="006205D3"/>
    <w:rsid w:val="006217A3"/>
    <w:rsid w:val="0062234C"/>
    <w:rsid w:val="006229E0"/>
    <w:rsid w:val="00622C33"/>
    <w:rsid w:val="00622F87"/>
    <w:rsid w:val="00623090"/>
    <w:rsid w:val="00623262"/>
    <w:rsid w:val="00623542"/>
    <w:rsid w:val="00623B56"/>
    <w:rsid w:val="006240D0"/>
    <w:rsid w:val="006244FE"/>
    <w:rsid w:val="0062450B"/>
    <w:rsid w:val="00624768"/>
    <w:rsid w:val="00624B61"/>
    <w:rsid w:val="00624F27"/>
    <w:rsid w:val="006257E5"/>
    <w:rsid w:val="006258B7"/>
    <w:rsid w:val="006268C7"/>
    <w:rsid w:val="006269E8"/>
    <w:rsid w:val="00626EA5"/>
    <w:rsid w:val="00627153"/>
    <w:rsid w:val="006271C3"/>
    <w:rsid w:val="00627697"/>
    <w:rsid w:val="0062786C"/>
    <w:rsid w:val="00627A3D"/>
    <w:rsid w:val="00627AA0"/>
    <w:rsid w:val="00627D3E"/>
    <w:rsid w:val="00627D91"/>
    <w:rsid w:val="00627E26"/>
    <w:rsid w:val="00627FED"/>
    <w:rsid w:val="00631929"/>
    <w:rsid w:val="00632061"/>
    <w:rsid w:val="00632976"/>
    <w:rsid w:val="006329D4"/>
    <w:rsid w:val="00633040"/>
    <w:rsid w:val="00633491"/>
    <w:rsid w:val="00633667"/>
    <w:rsid w:val="006341D1"/>
    <w:rsid w:val="006345C0"/>
    <w:rsid w:val="006354DB"/>
    <w:rsid w:val="00635900"/>
    <w:rsid w:val="00635F85"/>
    <w:rsid w:val="0063622B"/>
    <w:rsid w:val="006364A3"/>
    <w:rsid w:val="006370C6"/>
    <w:rsid w:val="00637322"/>
    <w:rsid w:val="006378D2"/>
    <w:rsid w:val="0064020F"/>
    <w:rsid w:val="006405F1"/>
    <w:rsid w:val="00640980"/>
    <w:rsid w:val="0064239B"/>
    <w:rsid w:val="006424B3"/>
    <w:rsid w:val="00642D65"/>
    <w:rsid w:val="0064323B"/>
    <w:rsid w:val="00643984"/>
    <w:rsid w:val="00643C04"/>
    <w:rsid w:val="00644194"/>
    <w:rsid w:val="006443F3"/>
    <w:rsid w:val="0064474E"/>
    <w:rsid w:val="00644752"/>
    <w:rsid w:val="006448BF"/>
    <w:rsid w:val="006448E0"/>
    <w:rsid w:val="0064503D"/>
    <w:rsid w:val="00645056"/>
    <w:rsid w:val="006451DB"/>
    <w:rsid w:val="00645333"/>
    <w:rsid w:val="00645562"/>
    <w:rsid w:val="006455E2"/>
    <w:rsid w:val="006456CF"/>
    <w:rsid w:val="00645CCE"/>
    <w:rsid w:val="006467A4"/>
    <w:rsid w:val="00647020"/>
    <w:rsid w:val="0064724F"/>
    <w:rsid w:val="0064762F"/>
    <w:rsid w:val="00647DF3"/>
    <w:rsid w:val="00650095"/>
    <w:rsid w:val="00650271"/>
    <w:rsid w:val="0065045A"/>
    <w:rsid w:val="00650906"/>
    <w:rsid w:val="00651209"/>
    <w:rsid w:val="00651404"/>
    <w:rsid w:val="00651872"/>
    <w:rsid w:val="00651936"/>
    <w:rsid w:val="00651A77"/>
    <w:rsid w:val="00651C56"/>
    <w:rsid w:val="00651CD3"/>
    <w:rsid w:val="0065214C"/>
    <w:rsid w:val="0065273F"/>
    <w:rsid w:val="006532BF"/>
    <w:rsid w:val="00653A7D"/>
    <w:rsid w:val="00653BCA"/>
    <w:rsid w:val="00654DE1"/>
    <w:rsid w:val="006551C3"/>
    <w:rsid w:val="00655743"/>
    <w:rsid w:val="00655896"/>
    <w:rsid w:val="00655D8F"/>
    <w:rsid w:val="00656FB9"/>
    <w:rsid w:val="006578E8"/>
    <w:rsid w:val="00657EF3"/>
    <w:rsid w:val="006603CA"/>
    <w:rsid w:val="00660432"/>
    <w:rsid w:val="0066066A"/>
    <w:rsid w:val="00660ABC"/>
    <w:rsid w:val="00661318"/>
    <w:rsid w:val="0066174D"/>
    <w:rsid w:val="00662509"/>
    <w:rsid w:val="00662840"/>
    <w:rsid w:val="00662861"/>
    <w:rsid w:val="006639AB"/>
    <w:rsid w:val="00663BEB"/>
    <w:rsid w:val="00663DD7"/>
    <w:rsid w:val="0066418C"/>
    <w:rsid w:val="0066465C"/>
    <w:rsid w:val="006647FF"/>
    <w:rsid w:val="00664ADC"/>
    <w:rsid w:val="00664CED"/>
    <w:rsid w:val="00665196"/>
    <w:rsid w:val="00665E2B"/>
    <w:rsid w:val="00666792"/>
    <w:rsid w:val="00667655"/>
    <w:rsid w:val="006677AF"/>
    <w:rsid w:val="006677B2"/>
    <w:rsid w:val="00667A1E"/>
    <w:rsid w:val="00667C97"/>
    <w:rsid w:val="00667CF2"/>
    <w:rsid w:val="00667F90"/>
    <w:rsid w:val="00670129"/>
    <w:rsid w:val="00670188"/>
    <w:rsid w:val="0067101D"/>
    <w:rsid w:val="00671348"/>
    <w:rsid w:val="0067197B"/>
    <w:rsid w:val="00671DEB"/>
    <w:rsid w:val="00671E60"/>
    <w:rsid w:val="00671FCB"/>
    <w:rsid w:val="006724B6"/>
    <w:rsid w:val="0067293C"/>
    <w:rsid w:val="00672D30"/>
    <w:rsid w:val="006731B4"/>
    <w:rsid w:val="006733FF"/>
    <w:rsid w:val="00673AB4"/>
    <w:rsid w:val="00674721"/>
    <w:rsid w:val="006748BE"/>
    <w:rsid w:val="00674EDF"/>
    <w:rsid w:val="006755E9"/>
    <w:rsid w:val="00675BA0"/>
    <w:rsid w:val="00675D52"/>
    <w:rsid w:val="00676015"/>
    <w:rsid w:val="006762FE"/>
    <w:rsid w:val="006764A2"/>
    <w:rsid w:val="006764FE"/>
    <w:rsid w:val="006768D0"/>
    <w:rsid w:val="00676BB6"/>
    <w:rsid w:val="00676F0D"/>
    <w:rsid w:val="00677A0B"/>
    <w:rsid w:val="006802EA"/>
    <w:rsid w:val="0068063F"/>
    <w:rsid w:val="006816FC"/>
    <w:rsid w:val="00681D34"/>
    <w:rsid w:val="0068273B"/>
    <w:rsid w:val="0068276F"/>
    <w:rsid w:val="00683956"/>
    <w:rsid w:val="00684108"/>
    <w:rsid w:val="006844B4"/>
    <w:rsid w:val="006845A8"/>
    <w:rsid w:val="006848D9"/>
    <w:rsid w:val="00684A09"/>
    <w:rsid w:val="00684ED3"/>
    <w:rsid w:val="00685042"/>
    <w:rsid w:val="0068594A"/>
    <w:rsid w:val="00685D8F"/>
    <w:rsid w:val="00686085"/>
    <w:rsid w:val="00686231"/>
    <w:rsid w:val="0068685D"/>
    <w:rsid w:val="00686B58"/>
    <w:rsid w:val="006870B6"/>
    <w:rsid w:val="006874C4"/>
    <w:rsid w:val="006877B7"/>
    <w:rsid w:val="006877FF"/>
    <w:rsid w:val="00687B99"/>
    <w:rsid w:val="00687E09"/>
    <w:rsid w:val="006900C8"/>
    <w:rsid w:val="0069045E"/>
    <w:rsid w:val="00690673"/>
    <w:rsid w:val="00690B40"/>
    <w:rsid w:val="00691226"/>
    <w:rsid w:val="00691251"/>
    <w:rsid w:val="00691EE4"/>
    <w:rsid w:val="0069298B"/>
    <w:rsid w:val="00692B0C"/>
    <w:rsid w:val="00692C97"/>
    <w:rsid w:val="00692E45"/>
    <w:rsid w:val="00692EB2"/>
    <w:rsid w:val="0069361A"/>
    <w:rsid w:val="00693BE0"/>
    <w:rsid w:val="00693DB8"/>
    <w:rsid w:val="006941B6"/>
    <w:rsid w:val="0069453D"/>
    <w:rsid w:val="00694C0B"/>
    <w:rsid w:val="0069515A"/>
    <w:rsid w:val="006952AA"/>
    <w:rsid w:val="00695308"/>
    <w:rsid w:val="006956F8"/>
    <w:rsid w:val="006957AC"/>
    <w:rsid w:val="00695BD8"/>
    <w:rsid w:val="00695E7D"/>
    <w:rsid w:val="00695F73"/>
    <w:rsid w:val="0069666D"/>
    <w:rsid w:val="00696C36"/>
    <w:rsid w:val="00696E59"/>
    <w:rsid w:val="006972E0"/>
    <w:rsid w:val="006975E7"/>
    <w:rsid w:val="00697822"/>
    <w:rsid w:val="0069791D"/>
    <w:rsid w:val="00697BA3"/>
    <w:rsid w:val="006A0884"/>
    <w:rsid w:val="006A09F4"/>
    <w:rsid w:val="006A0C8F"/>
    <w:rsid w:val="006A0FF7"/>
    <w:rsid w:val="006A11D7"/>
    <w:rsid w:val="006A126D"/>
    <w:rsid w:val="006A1383"/>
    <w:rsid w:val="006A13A8"/>
    <w:rsid w:val="006A1F76"/>
    <w:rsid w:val="006A2015"/>
    <w:rsid w:val="006A2401"/>
    <w:rsid w:val="006A2418"/>
    <w:rsid w:val="006A3867"/>
    <w:rsid w:val="006A39B7"/>
    <w:rsid w:val="006A3C03"/>
    <w:rsid w:val="006A3EEE"/>
    <w:rsid w:val="006A3F7A"/>
    <w:rsid w:val="006A4213"/>
    <w:rsid w:val="006A4875"/>
    <w:rsid w:val="006A4B7F"/>
    <w:rsid w:val="006A503C"/>
    <w:rsid w:val="006A5086"/>
    <w:rsid w:val="006A518D"/>
    <w:rsid w:val="006A5536"/>
    <w:rsid w:val="006A5AD6"/>
    <w:rsid w:val="006A66BA"/>
    <w:rsid w:val="006A670B"/>
    <w:rsid w:val="006A68BA"/>
    <w:rsid w:val="006A68E6"/>
    <w:rsid w:val="006A6A3E"/>
    <w:rsid w:val="006A6ACE"/>
    <w:rsid w:val="006A6E64"/>
    <w:rsid w:val="006A6EF4"/>
    <w:rsid w:val="006A7DCC"/>
    <w:rsid w:val="006B0120"/>
    <w:rsid w:val="006B0267"/>
    <w:rsid w:val="006B09EF"/>
    <w:rsid w:val="006B0A19"/>
    <w:rsid w:val="006B102B"/>
    <w:rsid w:val="006B112F"/>
    <w:rsid w:val="006B164F"/>
    <w:rsid w:val="006B1E14"/>
    <w:rsid w:val="006B2876"/>
    <w:rsid w:val="006B287E"/>
    <w:rsid w:val="006B31DB"/>
    <w:rsid w:val="006B3716"/>
    <w:rsid w:val="006B37A7"/>
    <w:rsid w:val="006B37C4"/>
    <w:rsid w:val="006B3A56"/>
    <w:rsid w:val="006B3EDC"/>
    <w:rsid w:val="006B3F40"/>
    <w:rsid w:val="006B43C0"/>
    <w:rsid w:val="006B48BA"/>
    <w:rsid w:val="006B49BC"/>
    <w:rsid w:val="006B4BAD"/>
    <w:rsid w:val="006B4D14"/>
    <w:rsid w:val="006B4DDB"/>
    <w:rsid w:val="006B52D3"/>
    <w:rsid w:val="006B54C9"/>
    <w:rsid w:val="006B63F8"/>
    <w:rsid w:val="006B64EA"/>
    <w:rsid w:val="006B77E2"/>
    <w:rsid w:val="006B79C3"/>
    <w:rsid w:val="006B7B79"/>
    <w:rsid w:val="006C0F47"/>
    <w:rsid w:val="006C15A8"/>
    <w:rsid w:val="006C1926"/>
    <w:rsid w:val="006C21EF"/>
    <w:rsid w:val="006C27B9"/>
    <w:rsid w:val="006C3718"/>
    <w:rsid w:val="006C3A22"/>
    <w:rsid w:val="006C3A80"/>
    <w:rsid w:val="006C3C2A"/>
    <w:rsid w:val="006C3DB4"/>
    <w:rsid w:val="006C3F8B"/>
    <w:rsid w:val="006C45DC"/>
    <w:rsid w:val="006C4C03"/>
    <w:rsid w:val="006C57F9"/>
    <w:rsid w:val="006C672A"/>
    <w:rsid w:val="006C6E84"/>
    <w:rsid w:val="006C6EF7"/>
    <w:rsid w:val="006C6F79"/>
    <w:rsid w:val="006C7092"/>
    <w:rsid w:val="006C797E"/>
    <w:rsid w:val="006D02B0"/>
    <w:rsid w:val="006D0A67"/>
    <w:rsid w:val="006D0B8E"/>
    <w:rsid w:val="006D0FFF"/>
    <w:rsid w:val="006D1113"/>
    <w:rsid w:val="006D1324"/>
    <w:rsid w:val="006D162A"/>
    <w:rsid w:val="006D17E6"/>
    <w:rsid w:val="006D192D"/>
    <w:rsid w:val="006D252C"/>
    <w:rsid w:val="006D2779"/>
    <w:rsid w:val="006D2EB7"/>
    <w:rsid w:val="006D2F47"/>
    <w:rsid w:val="006D3210"/>
    <w:rsid w:val="006D338B"/>
    <w:rsid w:val="006D34F3"/>
    <w:rsid w:val="006D3980"/>
    <w:rsid w:val="006D3DFA"/>
    <w:rsid w:val="006D437D"/>
    <w:rsid w:val="006D439D"/>
    <w:rsid w:val="006D450A"/>
    <w:rsid w:val="006D492E"/>
    <w:rsid w:val="006D4D25"/>
    <w:rsid w:val="006D4E27"/>
    <w:rsid w:val="006D574F"/>
    <w:rsid w:val="006D57E6"/>
    <w:rsid w:val="006D58E6"/>
    <w:rsid w:val="006D5B6A"/>
    <w:rsid w:val="006D63B5"/>
    <w:rsid w:val="006D6424"/>
    <w:rsid w:val="006D6B38"/>
    <w:rsid w:val="006E069E"/>
    <w:rsid w:val="006E08C2"/>
    <w:rsid w:val="006E102F"/>
    <w:rsid w:val="006E1262"/>
    <w:rsid w:val="006E19F2"/>
    <w:rsid w:val="006E1AE4"/>
    <w:rsid w:val="006E1EC7"/>
    <w:rsid w:val="006E22DC"/>
    <w:rsid w:val="006E2519"/>
    <w:rsid w:val="006E2673"/>
    <w:rsid w:val="006E38EF"/>
    <w:rsid w:val="006E3FBA"/>
    <w:rsid w:val="006E4408"/>
    <w:rsid w:val="006E4ADD"/>
    <w:rsid w:val="006E4E6F"/>
    <w:rsid w:val="006E54A8"/>
    <w:rsid w:val="006E5887"/>
    <w:rsid w:val="006E5C4D"/>
    <w:rsid w:val="006E5C80"/>
    <w:rsid w:val="006E5D68"/>
    <w:rsid w:val="006E5DF0"/>
    <w:rsid w:val="006E5EA4"/>
    <w:rsid w:val="006E6EFA"/>
    <w:rsid w:val="006E74A6"/>
    <w:rsid w:val="006E7D48"/>
    <w:rsid w:val="006E7DA5"/>
    <w:rsid w:val="006F0B35"/>
    <w:rsid w:val="006F1507"/>
    <w:rsid w:val="006F1C4E"/>
    <w:rsid w:val="006F1E9F"/>
    <w:rsid w:val="006F2219"/>
    <w:rsid w:val="006F2972"/>
    <w:rsid w:val="006F2A49"/>
    <w:rsid w:val="006F2BB4"/>
    <w:rsid w:val="006F30C6"/>
    <w:rsid w:val="006F3837"/>
    <w:rsid w:val="006F3982"/>
    <w:rsid w:val="006F4191"/>
    <w:rsid w:val="006F443B"/>
    <w:rsid w:val="006F4B56"/>
    <w:rsid w:val="006F4DCE"/>
    <w:rsid w:val="006F4E3B"/>
    <w:rsid w:val="006F551B"/>
    <w:rsid w:val="006F55CB"/>
    <w:rsid w:val="006F5884"/>
    <w:rsid w:val="006F59DB"/>
    <w:rsid w:val="006F6638"/>
    <w:rsid w:val="006F708E"/>
    <w:rsid w:val="006F7234"/>
    <w:rsid w:val="006F77CB"/>
    <w:rsid w:val="00700143"/>
    <w:rsid w:val="007004F3"/>
    <w:rsid w:val="00700785"/>
    <w:rsid w:val="00700D98"/>
    <w:rsid w:val="007011FA"/>
    <w:rsid w:val="00701510"/>
    <w:rsid w:val="007023EF"/>
    <w:rsid w:val="00702ADC"/>
    <w:rsid w:val="00702BB7"/>
    <w:rsid w:val="00702D90"/>
    <w:rsid w:val="00702E0E"/>
    <w:rsid w:val="007032FE"/>
    <w:rsid w:val="00703A3B"/>
    <w:rsid w:val="00703DA4"/>
    <w:rsid w:val="00703DC4"/>
    <w:rsid w:val="00704088"/>
    <w:rsid w:val="007040A4"/>
    <w:rsid w:val="007040ED"/>
    <w:rsid w:val="0070473F"/>
    <w:rsid w:val="00704B57"/>
    <w:rsid w:val="0070530F"/>
    <w:rsid w:val="007053BC"/>
    <w:rsid w:val="0070542B"/>
    <w:rsid w:val="007057A3"/>
    <w:rsid w:val="00705E8B"/>
    <w:rsid w:val="00705F5C"/>
    <w:rsid w:val="007073CA"/>
    <w:rsid w:val="00707BB9"/>
    <w:rsid w:val="007101A9"/>
    <w:rsid w:val="007101C7"/>
    <w:rsid w:val="007103F2"/>
    <w:rsid w:val="00710D1F"/>
    <w:rsid w:val="00710FE0"/>
    <w:rsid w:val="007111DF"/>
    <w:rsid w:val="00711882"/>
    <w:rsid w:val="00711F0E"/>
    <w:rsid w:val="00712112"/>
    <w:rsid w:val="00712A1C"/>
    <w:rsid w:val="00713A3E"/>
    <w:rsid w:val="007144F2"/>
    <w:rsid w:val="007148B3"/>
    <w:rsid w:val="00715868"/>
    <w:rsid w:val="00715F75"/>
    <w:rsid w:val="00716786"/>
    <w:rsid w:val="00716BC5"/>
    <w:rsid w:val="00717085"/>
    <w:rsid w:val="0071737A"/>
    <w:rsid w:val="00717A4D"/>
    <w:rsid w:val="007200C7"/>
    <w:rsid w:val="0072025D"/>
    <w:rsid w:val="00720A0F"/>
    <w:rsid w:val="00720B27"/>
    <w:rsid w:val="00720DAB"/>
    <w:rsid w:val="00721014"/>
    <w:rsid w:val="00721A80"/>
    <w:rsid w:val="00721F10"/>
    <w:rsid w:val="00722269"/>
    <w:rsid w:val="00722A85"/>
    <w:rsid w:val="00722BF5"/>
    <w:rsid w:val="007233B3"/>
    <w:rsid w:val="0072388B"/>
    <w:rsid w:val="0072392B"/>
    <w:rsid w:val="00723AB3"/>
    <w:rsid w:val="007240E4"/>
    <w:rsid w:val="0072413B"/>
    <w:rsid w:val="0072427F"/>
    <w:rsid w:val="00724352"/>
    <w:rsid w:val="007247D5"/>
    <w:rsid w:val="00724B1D"/>
    <w:rsid w:val="00724D02"/>
    <w:rsid w:val="00724DAB"/>
    <w:rsid w:val="00725293"/>
    <w:rsid w:val="00725AC0"/>
    <w:rsid w:val="00725B36"/>
    <w:rsid w:val="00725D60"/>
    <w:rsid w:val="00726275"/>
    <w:rsid w:val="0073030F"/>
    <w:rsid w:val="00730522"/>
    <w:rsid w:val="00730890"/>
    <w:rsid w:val="00730898"/>
    <w:rsid w:val="007309F1"/>
    <w:rsid w:val="00730F05"/>
    <w:rsid w:val="0073101A"/>
    <w:rsid w:val="00731716"/>
    <w:rsid w:val="007317B7"/>
    <w:rsid w:val="00731F8B"/>
    <w:rsid w:val="00732761"/>
    <w:rsid w:val="00732885"/>
    <w:rsid w:val="00732CE3"/>
    <w:rsid w:val="00733364"/>
    <w:rsid w:val="00733779"/>
    <w:rsid w:val="00733E13"/>
    <w:rsid w:val="00733EC0"/>
    <w:rsid w:val="00734917"/>
    <w:rsid w:val="00734D60"/>
    <w:rsid w:val="00734FEF"/>
    <w:rsid w:val="007353FD"/>
    <w:rsid w:val="0073553F"/>
    <w:rsid w:val="00735C49"/>
    <w:rsid w:val="00736213"/>
    <w:rsid w:val="00736ED9"/>
    <w:rsid w:val="00737212"/>
    <w:rsid w:val="007376C5"/>
    <w:rsid w:val="00737AF8"/>
    <w:rsid w:val="00740664"/>
    <w:rsid w:val="00740773"/>
    <w:rsid w:val="007411F8"/>
    <w:rsid w:val="007415CA"/>
    <w:rsid w:val="0074161C"/>
    <w:rsid w:val="00741C90"/>
    <w:rsid w:val="00741FD8"/>
    <w:rsid w:val="0074201C"/>
    <w:rsid w:val="007423E7"/>
    <w:rsid w:val="007433EE"/>
    <w:rsid w:val="00743478"/>
    <w:rsid w:val="00744359"/>
    <w:rsid w:val="007444A1"/>
    <w:rsid w:val="00744ABA"/>
    <w:rsid w:val="00744AD2"/>
    <w:rsid w:val="00744AEB"/>
    <w:rsid w:val="0074525D"/>
    <w:rsid w:val="0074554D"/>
    <w:rsid w:val="00745734"/>
    <w:rsid w:val="0074771F"/>
    <w:rsid w:val="00747BE1"/>
    <w:rsid w:val="007509C8"/>
    <w:rsid w:val="00750C3D"/>
    <w:rsid w:val="00750D55"/>
    <w:rsid w:val="00751183"/>
    <w:rsid w:val="0075207D"/>
    <w:rsid w:val="007520AE"/>
    <w:rsid w:val="007525BB"/>
    <w:rsid w:val="007528EB"/>
    <w:rsid w:val="00752C5C"/>
    <w:rsid w:val="00752D42"/>
    <w:rsid w:val="00752E2A"/>
    <w:rsid w:val="00752F1E"/>
    <w:rsid w:val="00753939"/>
    <w:rsid w:val="00754334"/>
    <w:rsid w:val="00754433"/>
    <w:rsid w:val="00754801"/>
    <w:rsid w:val="00754A4A"/>
    <w:rsid w:val="00754C7F"/>
    <w:rsid w:val="00754CD8"/>
    <w:rsid w:val="00755866"/>
    <w:rsid w:val="00755A65"/>
    <w:rsid w:val="00755C03"/>
    <w:rsid w:val="00755CA8"/>
    <w:rsid w:val="00756177"/>
    <w:rsid w:val="007564AC"/>
    <w:rsid w:val="00756BCB"/>
    <w:rsid w:val="00756C69"/>
    <w:rsid w:val="00756D9E"/>
    <w:rsid w:val="00757305"/>
    <w:rsid w:val="007575FE"/>
    <w:rsid w:val="007601DD"/>
    <w:rsid w:val="0076032E"/>
    <w:rsid w:val="00760820"/>
    <w:rsid w:val="00760D17"/>
    <w:rsid w:val="007615C4"/>
    <w:rsid w:val="007617B8"/>
    <w:rsid w:val="00761B1D"/>
    <w:rsid w:val="00761ECD"/>
    <w:rsid w:val="007626BD"/>
    <w:rsid w:val="00762A45"/>
    <w:rsid w:val="00762BA4"/>
    <w:rsid w:val="00762E04"/>
    <w:rsid w:val="00762FA6"/>
    <w:rsid w:val="0076300C"/>
    <w:rsid w:val="007636EB"/>
    <w:rsid w:val="00763F09"/>
    <w:rsid w:val="00764577"/>
    <w:rsid w:val="00764C9C"/>
    <w:rsid w:val="00764DFC"/>
    <w:rsid w:val="0076539B"/>
    <w:rsid w:val="00765FEB"/>
    <w:rsid w:val="00766FFC"/>
    <w:rsid w:val="00767312"/>
    <w:rsid w:val="007673F2"/>
    <w:rsid w:val="007674DC"/>
    <w:rsid w:val="0076759A"/>
    <w:rsid w:val="0076759F"/>
    <w:rsid w:val="007677E4"/>
    <w:rsid w:val="00767C1B"/>
    <w:rsid w:val="0077023F"/>
    <w:rsid w:val="007707AB"/>
    <w:rsid w:val="00771858"/>
    <w:rsid w:val="007721A5"/>
    <w:rsid w:val="00772517"/>
    <w:rsid w:val="00772F74"/>
    <w:rsid w:val="00773A9F"/>
    <w:rsid w:val="00773FAC"/>
    <w:rsid w:val="0077440A"/>
    <w:rsid w:val="00774DB7"/>
    <w:rsid w:val="00774E6C"/>
    <w:rsid w:val="00774F7F"/>
    <w:rsid w:val="007754F9"/>
    <w:rsid w:val="0077572B"/>
    <w:rsid w:val="00775FB2"/>
    <w:rsid w:val="0077659A"/>
    <w:rsid w:val="00776BE8"/>
    <w:rsid w:val="007804AE"/>
    <w:rsid w:val="00780612"/>
    <w:rsid w:val="00780722"/>
    <w:rsid w:val="00780968"/>
    <w:rsid w:val="00780AA2"/>
    <w:rsid w:val="00780C05"/>
    <w:rsid w:val="00780FDB"/>
    <w:rsid w:val="00781134"/>
    <w:rsid w:val="00781379"/>
    <w:rsid w:val="007818DD"/>
    <w:rsid w:val="0078258E"/>
    <w:rsid w:val="00782F51"/>
    <w:rsid w:val="00783087"/>
    <w:rsid w:val="007830C3"/>
    <w:rsid w:val="007839A2"/>
    <w:rsid w:val="00783F34"/>
    <w:rsid w:val="00784248"/>
    <w:rsid w:val="0078471F"/>
    <w:rsid w:val="007848B4"/>
    <w:rsid w:val="00784B91"/>
    <w:rsid w:val="00784BF9"/>
    <w:rsid w:val="007850A4"/>
    <w:rsid w:val="00785169"/>
    <w:rsid w:val="007857B1"/>
    <w:rsid w:val="00786585"/>
    <w:rsid w:val="0078679F"/>
    <w:rsid w:val="00787A96"/>
    <w:rsid w:val="007900E3"/>
    <w:rsid w:val="0079173B"/>
    <w:rsid w:val="00791D8F"/>
    <w:rsid w:val="00792488"/>
    <w:rsid w:val="0079275F"/>
    <w:rsid w:val="00792A3B"/>
    <w:rsid w:val="00793036"/>
    <w:rsid w:val="00793258"/>
    <w:rsid w:val="0079356D"/>
    <w:rsid w:val="007939BF"/>
    <w:rsid w:val="00793CA7"/>
    <w:rsid w:val="0079492F"/>
    <w:rsid w:val="00794C54"/>
    <w:rsid w:val="00794F58"/>
    <w:rsid w:val="007952CB"/>
    <w:rsid w:val="00795440"/>
    <w:rsid w:val="007956A9"/>
    <w:rsid w:val="0079599A"/>
    <w:rsid w:val="00795D42"/>
    <w:rsid w:val="00795E10"/>
    <w:rsid w:val="007965F5"/>
    <w:rsid w:val="00796E44"/>
    <w:rsid w:val="007973BD"/>
    <w:rsid w:val="00797622"/>
    <w:rsid w:val="00797C13"/>
    <w:rsid w:val="00797C3B"/>
    <w:rsid w:val="007A0105"/>
    <w:rsid w:val="007A0982"/>
    <w:rsid w:val="007A0A23"/>
    <w:rsid w:val="007A15F0"/>
    <w:rsid w:val="007A16AC"/>
    <w:rsid w:val="007A1DE9"/>
    <w:rsid w:val="007A1E43"/>
    <w:rsid w:val="007A1F46"/>
    <w:rsid w:val="007A2171"/>
    <w:rsid w:val="007A2396"/>
    <w:rsid w:val="007A26A8"/>
    <w:rsid w:val="007A2873"/>
    <w:rsid w:val="007A2B25"/>
    <w:rsid w:val="007A2CCB"/>
    <w:rsid w:val="007A40E3"/>
    <w:rsid w:val="007A43B4"/>
    <w:rsid w:val="007A470F"/>
    <w:rsid w:val="007A51BF"/>
    <w:rsid w:val="007A5484"/>
    <w:rsid w:val="007A5612"/>
    <w:rsid w:val="007A5AE5"/>
    <w:rsid w:val="007A5BB7"/>
    <w:rsid w:val="007A624E"/>
    <w:rsid w:val="007A68AC"/>
    <w:rsid w:val="007A6BA4"/>
    <w:rsid w:val="007A7161"/>
    <w:rsid w:val="007A73AF"/>
    <w:rsid w:val="007A749A"/>
    <w:rsid w:val="007A7E6A"/>
    <w:rsid w:val="007B0263"/>
    <w:rsid w:val="007B026B"/>
    <w:rsid w:val="007B0662"/>
    <w:rsid w:val="007B0928"/>
    <w:rsid w:val="007B0FF1"/>
    <w:rsid w:val="007B1277"/>
    <w:rsid w:val="007B147A"/>
    <w:rsid w:val="007B170D"/>
    <w:rsid w:val="007B17DB"/>
    <w:rsid w:val="007B1F6A"/>
    <w:rsid w:val="007B2343"/>
    <w:rsid w:val="007B2B94"/>
    <w:rsid w:val="007B31CF"/>
    <w:rsid w:val="007B3F1D"/>
    <w:rsid w:val="007B4417"/>
    <w:rsid w:val="007B45F2"/>
    <w:rsid w:val="007B4F8B"/>
    <w:rsid w:val="007B67A1"/>
    <w:rsid w:val="007C00F9"/>
    <w:rsid w:val="007C080A"/>
    <w:rsid w:val="007C0B04"/>
    <w:rsid w:val="007C10C6"/>
    <w:rsid w:val="007C1C84"/>
    <w:rsid w:val="007C207F"/>
    <w:rsid w:val="007C295E"/>
    <w:rsid w:val="007C2D9B"/>
    <w:rsid w:val="007C396A"/>
    <w:rsid w:val="007C39B4"/>
    <w:rsid w:val="007C41B6"/>
    <w:rsid w:val="007C445A"/>
    <w:rsid w:val="007C45EA"/>
    <w:rsid w:val="007C4819"/>
    <w:rsid w:val="007C50C3"/>
    <w:rsid w:val="007C517A"/>
    <w:rsid w:val="007C567E"/>
    <w:rsid w:val="007C5C40"/>
    <w:rsid w:val="007C5F94"/>
    <w:rsid w:val="007C7100"/>
    <w:rsid w:val="007C756E"/>
    <w:rsid w:val="007C763A"/>
    <w:rsid w:val="007C77F0"/>
    <w:rsid w:val="007C7998"/>
    <w:rsid w:val="007C7A1D"/>
    <w:rsid w:val="007D086C"/>
    <w:rsid w:val="007D0CA9"/>
    <w:rsid w:val="007D0CD8"/>
    <w:rsid w:val="007D0F34"/>
    <w:rsid w:val="007D1059"/>
    <w:rsid w:val="007D16D5"/>
    <w:rsid w:val="007D1CD4"/>
    <w:rsid w:val="007D1FC9"/>
    <w:rsid w:val="007D28AF"/>
    <w:rsid w:val="007D2C94"/>
    <w:rsid w:val="007D36C0"/>
    <w:rsid w:val="007D37CE"/>
    <w:rsid w:val="007D4A2A"/>
    <w:rsid w:val="007D4F01"/>
    <w:rsid w:val="007D5015"/>
    <w:rsid w:val="007D56BD"/>
    <w:rsid w:val="007D5D0E"/>
    <w:rsid w:val="007D5D83"/>
    <w:rsid w:val="007D67FF"/>
    <w:rsid w:val="007D69B7"/>
    <w:rsid w:val="007D6BF9"/>
    <w:rsid w:val="007D6CFC"/>
    <w:rsid w:val="007D6D78"/>
    <w:rsid w:val="007D7356"/>
    <w:rsid w:val="007D757B"/>
    <w:rsid w:val="007D7A7E"/>
    <w:rsid w:val="007D7F0C"/>
    <w:rsid w:val="007E0051"/>
    <w:rsid w:val="007E0A6C"/>
    <w:rsid w:val="007E120E"/>
    <w:rsid w:val="007E148D"/>
    <w:rsid w:val="007E167A"/>
    <w:rsid w:val="007E1966"/>
    <w:rsid w:val="007E1AC9"/>
    <w:rsid w:val="007E2260"/>
    <w:rsid w:val="007E2862"/>
    <w:rsid w:val="007E29B7"/>
    <w:rsid w:val="007E2C55"/>
    <w:rsid w:val="007E33CB"/>
    <w:rsid w:val="007E3584"/>
    <w:rsid w:val="007E3AA2"/>
    <w:rsid w:val="007E3F2F"/>
    <w:rsid w:val="007E3FFD"/>
    <w:rsid w:val="007E404E"/>
    <w:rsid w:val="007E45D2"/>
    <w:rsid w:val="007E463F"/>
    <w:rsid w:val="007E4662"/>
    <w:rsid w:val="007E4BC7"/>
    <w:rsid w:val="007E500D"/>
    <w:rsid w:val="007E5CF9"/>
    <w:rsid w:val="007E612F"/>
    <w:rsid w:val="007E6242"/>
    <w:rsid w:val="007E626F"/>
    <w:rsid w:val="007E69AB"/>
    <w:rsid w:val="007E6A0D"/>
    <w:rsid w:val="007E70C7"/>
    <w:rsid w:val="007E7801"/>
    <w:rsid w:val="007E78A4"/>
    <w:rsid w:val="007E7D64"/>
    <w:rsid w:val="007F0253"/>
    <w:rsid w:val="007F02D0"/>
    <w:rsid w:val="007F0D26"/>
    <w:rsid w:val="007F0E43"/>
    <w:rsid w:val="007F10F5"/>
    <w:rsid w:val="007F1B74"/>
    <w:rsid w:val="007F1C28"/>
    <w:rsid w:val="007F1D0C"/>
    <w:rsid w:val="007F1F0F"/>
    <w:rsid w:val="007F2112"/>
    <w:rsid w:val="007F254C"/>
    <w:rsid w:val="007F2C12"/>
    <w:rsid w:val="007F314C"/>
    <w:rsid w:val="007F34A8"/>
    <w:rsid w:val="007F3554"/>
    <w:rsid w:val="007F380E"/>
    <w:rsid w:val="007F38C2"/>
    <w:rsid w:val="007F3D25"/>
    <w:rsid w:val="007F4515"/>
    <w:rsid w:val="007F4FE1"/>
    <w:rsid w:val="007F5DBE"/>
    <w:rsid w:val="007F6C6C"/>
    <w:rsid w:val="007F6DE5"/>
    <w:rsid w:val="007F740F"/>
    <w:rsid w:val="007F7A97"/>
    <w:rsid w:val="007F7C62"/>
    <w:rsid w:val="008005B4"/>
    <w:rsid w:val="00800661"/>
    <w:rsid w:val="0080071B"/>
    <w:rsid w:val="00800723"/>
    <w:rsid w:val="00800BC6"/>
    <w:rsid w:val="00800D9D"/>
    <w:rsid w:val="00801127"/>
    <w:rsid w:val="008011F7"/>
    <w:rsid w:val="00801362"/>
    <w:rsid w:val="0080157B"/>
    <w:rsid w:val="008016CB"/>
    <w:rsid w:val="008019B4"/>
    <w:rsid w:val="00801ABA"/>
    <w:rsid w:val="00801E9F"/>
    <w:rsid w:val="00802509"/>
    <w:rsid w:val="00802B1F"/>
    <w:rsid w:val="00802BCC"/>
    <w:rsid w:val="008034D2"/>
    <w:rsid w:val="0080361A"/>
    <w:rsid w:val="00803A83"/>
    <w:rsid w:val="0080481C"/>
    <w:rsid w:val="00804D85"/>
    <w:rsid w:val="008052CA"/>
    <w:rsid w:val="008054B4"/>
    <w:rsid w:val="0080555A"/>
    <w:rsid w:val="0080573C"/>
    <w:rsid w:val="00805B81"/>
    <w:rsid w:val="00805C24"/>
    <w:rsid w:val="00805C81"/>
    <w:rsid w:val="00805D8E"/>
    <w:rsid w:val="0080673C"/>
    <w:rsid w:val="008067F8"/>
    <w:rsid w:val="0080697F"/>
    <w:rsid w:val="00806B4A"/>
    <w:rsid w:val="00806D3A"/>
    <w:rsid w:val="00806F46"/>
    <w:rsid w:val="008073E7"/>
    <w:rsid w:val="0080777F"/>
    <w:rsid w:val="00807961"/>
    <w:rsid w:val="008079E6"/>
    <w:rsid w:val="00810013"/>
    <w:rsid w:val="00810B13"/>
    <w:rsid w:val="008110E7"/>
    <w:rsid w:val="00811F28"/>
    <w:rsid w:val="00812547"/>
    <w:rsid w:val="00812950"/>
    <w:rsid w:val="008129C2"/>
    <w:rsid w:val="00812D5E"/>
    <w:rsid w:val="00813674"/>
    <w:rsid w:val="008138FD"/>
    <w:rsid w:val="00814088"/>
    <w:rsid w:val="008140A1"/>
    <w:rsid w:val="00814143"/>
    <w:rsid w:val="0081465B"/>
    <w:rsid w:val="0081474B"/>
    <w:rsid w:val="00814A07"/>
    <w:rsid w:val="00814AA7"/>
    <w:rsid w:val="0081529D"/>
    <w:rsid w:val="00815750"/>
    <w:rsid w:val="00815913"/>
    <w:rsid w:val="00815944"/>
    <w:rsid w:val="00815D11"/>
    <w:rsid w:val="00815D25"/>
    <w:rsid w:val="00815F17"/>
    <w:rsid w:val="00815FE4"/>
    <w:rsid w:val="0081612B"/>
    <w:rsid w:val="00816A61"/>
    <w:rsid w:val="00816C1F"/>
    <w:rsid w:val="00816DD0"/>
    <w:rsid w:val="00816E38"/>
    <w:rsid w:val="00816F21"/>
    <w:rsid w:val="008171BC"/>
    <w:rsid w:val="00817327"/>
    <w:rsid w:val="00817377"/>
    <w:rsid w:val="008177A3"/>
    <w:rsid w:val="008179F0"/>
    <w:rsid w:val="00817FDB"/>
    <w:rsid w:val="008200F4"/>
    <w:rsid w:val="00820D81"/>
    <w:rsid w:val="00820E9E"/>
    <w:rsid w:val="00821374"/>
    <w:rsid w:val="008216D1"/>
    <w:rsid w:val="00821966"/>
    <w:rsid w:val="00822517"/>
    <w:rsid w:val="008225D1"/>
    <w:rsid w:val="008225DC"/>
    <w:rsid w:val="00822A56"/>
    <w:rsid w:val="0082310E"/>
    <w:rsid w:val="00823893"/>
    <w:rsid w:val="00823CED"/>
    <w:rsid w:val="00824950"/>
    <w:rsid w:val="00824B91"/>
    <w:rsid w:val="0082534B"/>
    <w:rsid w:val="0082544C"/>
    <w:rsid w:val="0082557B"/>
    <w:rsid w:val="00826C31"/>
    <w:rsid w:val="0082702A"/>
    <w:rsid w:val="008276F1"/>
    <w:rsid w:val="0082777F"/>
    <w:rsid w:val="008305C0"/>
    <w:rsid w:val="00830CD5"/>
    <w:rsid w:val="00830EA8"/>
    <w:rsid w:val="008317B9"/>
    <w:rsid w:val="008318F0"/>
    <w:rsid w:val="00831B19"/>
    <w:rsid w:val="00831DBE"/>
    <w:rsid w:val="00831F98"/>
    <w:rsid w:val="0083236A"/>
    <w:rsid w:val="008323AC"/>
    <w:rsid w:val="0083246A"/>
    <w:rsid w:val="008324A9"/>
    <w:rsid w:val="00832683"/>
    <w:rsid w:val="008329EB"/>
    <w:rsid w:val="00833952"/>
    <w:rsid w:val="00833AC6"/>
    <w:rsid w:val="00833D88"/>
    <w:rsid w:val="00833EC5"/>
    <w:rsid w:val="008342C0"/>
    <w:rsid w:val="008343E1"/>
    <w:rsid w:val="008345CC"/>
    <w:rsid w:val="00834972"/>
    <w:rsid w:val="008356C5"/>
    <w:rsid w:val="00835E86"/>
    <w:rsid w:val="00836CF1"/>
    <w:rsid w:val="00836D93"/>
    <w:rsid w:val="00837258"/>
    <w:rsid w:val="0083738E"/>
    <w:rsid w:val="008375F2"/>
    <w:rsid w:val="008402DD"/>
    <w:rsid w:val="00840767"/>
    <w:rsid w:val="00841376"/>
    <w:rsid w:val="008414B6"/>
    <w:rsid w:val="00841A43"/>
    <w:rsid w:val="00841E99"/>
    <w:rsid w:val="00841FE8"/>
    <w:rsid w:val="00842BBA"/>
    <w:rsid w:val="0084376D"/>
    <w:rsid w:val="00843EA9"/>
    <w:rsid w:val="00843EF5"/>
    <w:rsid w:val="00843F81"/>
    <w:rsid w:val="00844027"/>
    <w:rsid w:val="008449FD"/>
    <w:rsid w:val="00844B85"/>
    <w:rsid w:val="00844C87"/>
    <w:rsid w:val="00844D0B"/>
    <w:rsid w:val="00844D37"/>
    <w:rsid w:val="00845587"/>
    <w:rsid w:val="00845692"/>
    <w:rsid w:val="008457F8"/>
    <w:rsid w:val="00845B82"/>
    <w:rsid w:val="00845C24"/>
    <w:rsid w:val="00845E5A"/>
    <w:rsid w:val="008460AB"/>
    <w:rsid w:val="00846678"/>
    <w:rsid w:val="0084677F"/>
    <w:rsid w:val="00847D5A"/>
    <w:rsid w:val="0085014C"/>
    <w:rsid w:val="008501CE"/>
    <w:rsid w:val="008504D4"/>
    <w:rsid w:val="00850733"/>
    <w:rsid w:val="00850803"/>
    <w:rsid w:val="00850C7E"/>
    <w:rsid w:val="00850F5E"/>
    <w:rsid w:val="00851979"/>
    <w:rsid w:val="00852319"/>
    <w:rsid w:val="0085260A"/>
    <w:rsid w:val="00852734"/>
    <w:rsid w:val="00852854"/>
    <w:rsid w:val="00852C18"/>
    <w:rsid w:val="0085341F"/>
    <w:rsid w:val="00853C8D"/>
    <w:rsid w:val="008541DC"/>
    <w:rsid w:val="0085459F"/>
    <w:rsid w:val="00854E06"/>
    <w:rsid w:val="00854F5F"/>
    <w:rsid w:val="0085593B"/>
    <w:rsid w:val="00855D1E"/>
    <w:rsid w:val="00856273"/>
    <w:rsid w:val="008564D1"/>
    <w:rsid w:val="008568F5"/>
    <w:rsid w:val="00857AE4"/>
    <w:rsid w:val="008600A6"/>
    <w:rsid w:val="0086046C"/>
    <w:rsid w:val="008605AD"/>
    <w:rsid w:val="00860DAE"/>
    <w:rsid w:val="008612DD"/>
    <w:rsid w:val="00861966"/>
    <w:rsid w:val="00861CC6"/>
    <w:rsid w:val="00862278"/>
    <w:rsid w:val="00862A39"/>
    <w:rsid w:val="00862BD2"/>
    <w:rsid w:val="0086306C"/>
    <w:rsid w:val="00863132"/>
    <w:rsid w:val="00863193"/>
    <w:rsid w:val="00863312"/>
    <w:rsid w:val="00864660"/>
    <w:rsid w:val="008647A0"/>
    <w:rsid w:val="00866167"/>
    <w:rsid w:val="008661ED"/>
    <w:rsid w:val="00866228"/>
    <w:rsid w:val="00866941"/>
    <w:rsid w:val="00866B15"/>
    <w:rsid w:val="00866F3A"/>
    <w:rsid w:val="008671CC"/>
    <w:rsid w:val="00867F2C"/>
    <w:rsid w:val="008700CC"/>
    <w:rsid w:val="0087094B"/>
    <w:rsid w:val="0087097F"/>
    <w:rsid w:val="00870F8E"/>
    <w:rsid w:val="008711BE"/>
    <w:rsid w:val="00872122"/>
    <w:rsid w:val="00872317"/>
    <w:rsid w:val="00872942"/>
    <w:rsid w:val="008729D1"/>
    <w:rsid w:val="00872C20"/>
    <w:rsid w:val="00872E3C"/>
    <w:rsid w:val="00872FC5"/>
    <w:rsid w:val="0087339F"/>
    <w:rsid w:val="008738C1"/>
    <w:rsid w:val="00873CD8"/>
    <w:rsid w:val="00873FB2"/>
    <w:rsid w:val="00874256"/>
    <w:rsid w:val="00874742"/>
    <w:rsid w:val="00875300"/>
    <w:rsid w:val="00875586"/>
    <w:rsid w:val="00875BF1"/>
    <w:rsid w:val="00875F0F"/>
    <w:rsid w:val="008766EF"/>
    <w:rsid w:val="008769BE"/>
    <w:rsid w:val="00876BBA"/>
    <w:rsid w:val="00877196"/>
    <w:rsid w:val="008778F4"/>
    <w:rsid w:val="00877F0C"/>
    <w:rsid w:val="0088049C"/>
    <w:rsid w:val="00880D2F"/>
    <w:rsid w:val="00880F3F"/>
    <w:rsid w:val="00880FEB"/>
    <w:rsid w:val="0088141E"/>
    <w:rsid w:val="008818C7"/>
    <w:rsid w:val="00881912"/>
    <w:rsid w:val="00881B5E"/>
    <w:rsid w:val="008822E9"/>
    <w:rsid w:val="00882829"/>
    <w:rsid w:val="008828DE"/>
    <w:rsid w:val="00883256"/>
    <w:rsid w:val="00883316"/>
    <w:rsid w:val="008837F7"/>
    <w:rsid w:val="008840FE"/>
    <w:rsid w:val="00884263"/>
    <w:rsid w:val="008844E6"/>
    <w:rsid w:val="008845FB"/>
    <w:rsid w:val="00885142"/>
    <w:rsid w:val="00885FEA"/>
    <w:rsid w:val="008903DE"/>
    <w:rsid w:val="00890F8E"/>
    <w:rsid w:val="0089112D"/>
    <w:rsid w:val="008914A1"/>
    <w:rsid w:val="008919B8"/>
    <w:rsid w:val="00891B93"/>
    <w:rsid w:val="00891BCB"/>
    <w:rsid w:val="00892112"/>
    <w:rsid w:val="00892718"/>
    <w:rsid w:val="00892760"/>
    <w:rsid w:val="008929CF"/>
    <w:rsid w:val="00892AC1"/>
    <w:rsid w:val="00892BF1"/>
    <w:rsid w:val="00892C6E"/>
    <w:rsid w:val="00892FDC"/>
    <w:rsid w:val="00893225"/>
    <w:rsid w:val="008938CC"/>
    <w:rsid w:val="00893CDC"/>
    <w:rsid w:val="00894557"/>
    <w:rsid w:val="00894B47"/>
    <w:rsid w:val="00894B99"/>
    <w:rsid w:val="008952AD"/>
    <w:rsid w:val="008956E3"/>
    <w:rsid w:val="008956F4"/>
    <w:rsid w:val="00895A25"/>
    <w:rsid w:val="008963D6"/>
    <w:rsid w:val="00896704"/>
    <w:rsid w:val="00897090"/>
    <w:rsid w:val="0089767E"/>
    <w:rsid w:val="008979B4"/>
    <w:rsid w:val="008A0021"/>
    <w:rsid w:val="008A025C"/>
    <w:rsid w:val="008A0B56"/>
    <w:rsid w:val="008A0F5E"/>
    <w:rsid w:val="008A24BF"/>
    <w:rsid w:val="008A3057"/>
    <w:rsid w:val="008A367D"/>
    <w:rsid w:val="008A3954"/>
    <w:rsid w:val="008A3D63"/>
    <w:rsid w:val="008A47BB"/>
    <w:rsid w:val="008A4E87"/>
    <w:rsid w:val="008A5AFB"/>
    <w:rsid w:val="008A6165"/>
    <w:rsid w:val="008A653C"/>
    <w:rsid w:val="008A68C8"/>
    <w:rsid w:val="008A695B"/>
    <w:rsid w:val="008A6B89"/>
    <w:rsid w:val="008A7030"/>
    <w:rsid w:val="008A7161"/>
    <w:rsid w:val="008A73B1"/>
    <w:rsid w:val="008A75B9"/>
    <w:rsid w:val="008B06F3"/>
    <w:rsid w:val="008B1206"/>
    <w:rsid w:val="008B1342"/>
    <w:rsid w:val="008B14EC"/>
    <w:rsid w:val="008B1745"/>
    <w:rsid w:val="008B1BE9"/>
    <w:rsid w:val="008B1E60"/>
    <w:rsid w:val="008B239A"/>
    <w:rsid w:val="008B254A"/>
    <w:rsid w:val="008B25BB"/>
    <w:rsid w:val="008B25CD"/>
    <w:rsid w:val="008B2D38"/>
    <w:rsid w:val="008B3397"/>
    <w:rsid w:val="008B396F"/>
    <w:rsid w:val="008B3A78"/>
    <w:rsid w:val="008B3BDB"/>
    <w:rsid w:val="008B43FB"/>
    <w:rsid w:val="008B450D"/>
    <w:rsid w:val="008B47B1"/>
    <w:rsid w:val="008B4B3C"/>
    <w:rsid w:val="008B51EF"/>
    <w:rsid w:val="008B539E"/>
    <w:rsid w:val="008B5B90"/>
    <w:rsid w:val="008B5D21"/>
    <w:rsid w:val="008B6128"/>
    <w:rsid w:val="008B6343"/>
    <w:rsid w:val="008B64C8"/>
    <w:rsid w:val="008B6EF7"/>
    <w:rsid w:val="008B784F"/>
    <w:rsid w:val="008B788F"/>
    <w:rsid w:val="008B7A08"/>
    <w:rsid w:val="008C0105"/>
    <w:rsid w:val="008C02EB"/>
    <w:rsid w:val="008C0383"/>
    <w:rsid w:val="008C055B"/>
    <w:rsid w:val="008C0602"/>
    <w:rsid w:val="008C0924"/>
    <w:rsid w:val="008C11D7"/>
    <w:rsid w:val="008C11F9"/>
    <w:rsid w:val="008C13D9"/>
    <w:rsid w:val="008C17E9"/>
    <w:rsid w:val="008C1AE4"/>
    <w:rsid w:val="008C2287"/>
    <w:rsid w:val="008C2401"/>
    <w:rsid w:val="008C2FD9"/>
    <w:rsid w:val="008C31BF"/>
    <w:rsid w:val="008C322A"/>
    <w:rsid w:val="008C3D45"/>
    <w:rsid w:val="008C3D7A"/>
    <w:rsid w:val="008C51C2"/>
    <w:rsid w:val="008C5211"/>
    <w:rsid w:val="008C5224"/>
    <w:rsid w:val="008C5256"/>
    <w:rsid w:val="008C535A"/>
    <w:rsid w:val="008C57C3"/>
    <w:rsid w:val="008C58EB"/>
    <w:rsid w:val="008C5A2D"/>
    <w:rsid w:val="008C5F03"/>
    <w:rsid w:val="008C653A"/>
    <w:rsid w:val="008C67EA"/>
    <w:rsid w:val="008C6F53"/>
    <w:rsid w:val="008C6F7C"/>
    <w:rsid w:val="008C6FA8"/>
    <w:rsid w:val="008C7CB9"/>
    <w:rsid w:val="008D02B8"/>
    <w:rsid w:val="008D05C4"/>
    <w:rsid w:val="008D06E3"/>
    <w:rsid w:val="008D0B39"/>
    <w:rsid w:val="008D1A2C"/>
    <w:rsid w:val="008D1FD9"/>
    <w:rsid w:val="008D2976"/>
    <w:rsid w:val="008D2D1B"/>
    <w:rsid w:val="008D2DDD"/>
    <w:rsid w:val="008D2E4C"/>
    <w:rsid w:val="008D336A"/>
    <w:rsid w:val="008D3375"/>
    <w:rsid w:val="008D360A"/>
    <w:rsid w:val="008D3C99"/>
    <w:rsid w:val="008D3F27"/>
    <w:rsid w:val="008D3FB8"/>
    <w:rsid w:val="008D487C"/>
    <w:rsid w:val="008D4BE0"/>
    <w:rsid w:val="008D4D9F"/>
    <w:rsid w:val="008D4DB6"/>
    <w:rsid w:val="008D5140"/>
    <w:rsid w:val="008D5690"/>
    <w:rsid w:val="008D5C4B"/>
    <w:rsid w:val="008D6B8A"/>
    <w:rsid w:val="008D72CE"/>
    <w:rsid w:val="008D7B98"/>
    <w:rsid w:val="008D7BD8"/>
    <w:rsid w:val="008D7E58"/>
    <w:rsid w:val="008D7FDD"/>
    <w:rsid w:val="008E0337"/>
    <w:rsid w:val="008E0A38"/>
    <w:rsid w:val="008E0D8C"/>
    <w:rsid w:val="008E1199"/>
    <w:rsid w:val="008E11A1"/>
    <w:rsid w:val="008E11D9"/>
    <w:rsid w:val="008E139C"/>
    <w:rsid w:val="008E178A"/>
    <w:rsid w:val="008E1892"/>
    <w:rsid w:val="008E1CEE"/>
    <w:rsid w:val="008E2088"/>
    <w:rsid w:val="008E2838"/>
    <w:rsid w:val="008E2F7D"/>
    <w:rsid w:val="008E3228"/>
    <w:rsid w:val="008E3729"/>
    <w:rsid w:val="008E389B"/>
    <w:rsid w:val="008E38A6"/>
    <w:rsid w:val="008E39E1"/>
    <w:rsid w:val="008E3BC6"/>
    <w:rsid w:val="008E3F73"/>
    <w:rsid w:val="008E41A3"/>
    <w:rsid w:val="008E43A2"/>
    <w:rsid w:val="008E4819"/>
    <w:rsid w:val="008E4E15"/>
    <w:rsid w:val="008E4EA0"/>
    <w:rsid w:val="008E56A3"/>
    <w:rsid w:val="008E583A"/>
    <w:rsid w:val="008E592B"/>
    <w:rsid w:val="008E5B43"/>
    <w:rsid w:val="008E6499"/>
    <w:rsid w:val="008E6A95"/>
    <w:rsid w:val="008E70A4"/>
    <w:rsid w:val="008E7DCC"/>
    <w:rsid w:val="008F0288"/>
    <w:rsid w:val="008F0A0B"/>
    <w:rsid w:val="008F0BD9"/>
    <w:rsid w:val="008F0F19"/>
    <w:rsid w:val="008F1A3B"/>
    <w:rsid w:val="008F1D3C"/>
    <w:rsid w:val="008F1D5B"/>
    <w:rsid w:val="008F1FD6"/>
    <w:rsid w:val="008F22CD"/>
    <w:rsid w:val="008F3D16"/>
    <w:rsid w:val="008F4540"/>
    <w:rsid w:val="008F46D5"/>
    <w:rsid w:val="008F486A"/>
    <w:rsid w:val="008F4A45"/>
    <w:rsid w:val="008F5374"/>
    <w:rsid w:val="008F56E0"/>
    <w:rsid w:val="008F5AF1"/>
    <w:rsid w:val="008F609F"/>
    <w:rsid w:val="008F65EC"/>
    <w:rsid w:val="008F754C"/>
    <w:rsid w:val="008F7963"/>
    <w:rsid w:val="008F7CB6"/>
    <w:rsid w:val="00900493"/>
    <w:rsid w:val="00900670"/>
    <w:rsid w:val="00900E2E"/>
    <w:rsid w:val="00902183"/>
    <w:rsid w:val="009021C8"/>
    <w:rsid w:val="00902311"/>
    <w:rsid w:val="0090283D"/>
    <w:rsid w:val="00902931"/>
    <w:rsid w:val="00902973"/>
    <w:rsid w:val="00902EB7"/>
    <w:rsid w:val="00902EC8"/>
    <w:rsid w:val="009033E2"/>
    <w:rsid w:val="00903B3F"/>
    <w:rsid w:val="009041EC"/>
    <w:rsid w:val="00904495"/>
    <w:rsid w:val="0090469D"/>
    <w:rsid w:val="009046C6"/>
    <w:rsid w:val="0090475D"/>
    <w:rsid w:val="009053C7"/>
    <w:rsid w:val="00905978"/>
    <w:rsid w:val="00905E58"/>
    <w:rsid w:val="00905FAD"/>
    <w:rsid w:val="00906372"/>
    <w:rsid w:val="00906500"/>
    <w:rsid w:val="00906E1B"/>
    <w:rsid w:val="009070A1"/>
    <w:rsid w:val="0090753C"/>
    <w:rsid w:val="009078EB"/>
    <w:rsid w:val="00907930"/>
    <w:rsid w:val="00907FC0"/>
    <w:rsid w:val="00910135"/>
    <w:rsid w:val="00910CE3"/>
    <w:rsid w:val="0091110A"/>
    <w:rsid w:val="0091170F"/>
    <w:rsid w:val="00911B9C"/>
    <w:rsid w:val="00911E3A"/>
    <w:rsid w:val="00911EE6"/>
    <w:rsid w:val="0091230B"/>
    <w:rsid w:val="00912848"/>
    <w:rsid w:val="00912C78"/>
    <w:rsid w:val="00912FA9"/>
    <w:rsid w:val="00912FC6"/>
    <w:rsid w:val="0091304E"/>
    <w:rsid w:val="00913111"/>
    <w:rsid w:val="00913264"/>
    <w:rsid w:val="00913C0E"/>
    <w:rsid w:val="00913FB1"/>
    <w:rsid w:val="00913FB2"/>
    <w:rsid w:val="0091401E"/>
    <w:rsid w:val="00915033"/>
    <w:rsid w:val="009155E7"/>
    <w:rsid w:val="0091590B"/>
    <w:rsid w:val="009160B0"/>
    <w:rsid w:val="0091627F"/>
    <w:rsid w:val="0091670E"/>
    <w:rsid w:val="00916DE5"/>
    <w:rsid w:val="009173B4"/>
    <w:rsid w:val="0091749A"/>
    <w:rsid w:val="00917C07"/>
    <w:rsid w:val="00920043"/>
    <w:rsid w:val="009207B6"/>
    <w:rsid w:val="00920841"/>
    <w:rsid w:val="0092120D"/>
    <w:rsid w:val="00921458"/>
    <w:rsid w:val="00921596"/>
    <w:rsid w:val="0092168C"/>
    <w:rsid w:val="009233C6"/>
    <w:rsid w:val="00923CAF"/>
    <w:rsid w:val="00923E53"/>
    <w:rsid w:val="00923F6E"/>
    <w:rsid w:val="009242C6"/>
    <w:rsid w:val="00924836"/>
    <w:rsid w:val="00924945"/>
    <w:rsid w:val="009254B5"/>
    <w:rsid w:val="00925AD6"/>
    <w:rsid w:val="00925CCE"/>
    <w:rsid w:val="00925EF8"/>
    <w:rsid w:val="00925F2C"/>
    <w:rsid w:val="009265B9"/>
    <w:rsid w:val="00926772"/>
    <w:rsid w:val="00926B10"/>
    <w:rsid w:val="00927D80"/>
    <w:rsid w:val="009303FD"/>
    <w:rsid w:val="009304B7"/>
    <w:rsid w:val="00930A2C"/>
    <w:rsid w:val="009310BF"/>
    <w:rsid w:val="0093165E"/>
    <w:rsid w:val="009319D2"/>
    <w:rsid w:val="0093202F"/>
    <w:rsid w:val="00932863"/>
    <w:rsid w:val="00932AD9"/>
    <w:rsid w:val="0093312E"/>
    <w:rsid w:val="009332E9"/>
    <w:rsid w:val="009334B8"/>
    <w:rsid w:val="00933ECA"/>
    <w:rsid w:val="00934024"/>
    <w:rsid w:val="009348DF"/>
    <w:rsid w:val="00934E54"/>
    <w:rsid w:val="009354F3"/>
    <w:rsid w:val="0093623B"/>
    <w:rsid w:val="009362C4"/>
    <w:rsid w:val="00936B67"/>
    <w:rsid w:val="00937163"/>
    <w:rsid w:val="009372D7"/>
    <w:rsid w:val="009373C9"/>
    <w:rsid w:val="00937884"/>
    <w:rsid w:val="00937CCD"/>
    <w:rsid w:val="0094009C"/>
    <w:rsid w:val="009400F5"/>
    <w:rsid w:val="00940D3E"/>
    <w:rsid w:val="00940E1A"/>
    <w:rsid w:val="00941709"/>
    <w:rsid w:val="0094170F"/>
    <w:rsid w:val="00941B82"/>
    <w:rsid w:val="00941E59"/>
    <w:rsid w:val="0094242B"/>
    <w:rsid w:val="0094260E"/>
    <w:rsid w:val="0094281D"/>
    <w:rsid w:val="00942CC1"/>
    <w:rsid w:val="009434AA"/>
    <w:rsid w:val="00943639"/>
    <w:rsid w:val="009438A6"/>
    <w:rsid w:val="00943AE5"/>
    <w:rsid w:val="00943FDA"/>
    <w:rsid w:val="00944345"/>
    <w:rsid w:val="00944E0A"/>
    <w:rsid w:val="00945083"/>
    <w:rsid w:val="009453B3"/>
    <w:rsid w:val="009458FF"/>
    <w:rsid w:val="00945A1F"/>
    <w:rsid w:val="00945E2A"/>
    <w:rsid w:val="0094674C"/>
    <w:rsid w:val="009469D4"/>
    <w:rsid w:val="00946FD3"/>
    <w:rsid w:val="009470D9"/>
    <w:rsid w:val="009500DE"/>
    <w:rsid w:val="0095042E"/>
    <w:rsid w:val="009508B9"/>
    <w:rsid w:val="00950DDC"/>
    <w:rsid w:val="00951106"/>
    <w:rsid w:val="009514A8"/>
    <w:rsid w:val="00952525"/>
    <w:rsid w:val="009531D5"/>
    <w:rsid w:val="009532CE"/>
    <w:rsid w:val="00953692"/>
    <w:rsid w:val="009536EE"/>
    <w:rsid w:val="00953D34"/>
    <w:rsid w:val="009540D3"/>
    <w:rsid w:val="00954949"/>
    <w:rsid w:val="00954B1C"/>
    <w:rsid w:val="00955D12"/>
    <w:rsid w:val="009562F4"/>
    <w:rsid w:val="0095665F"/>
    <w:rsid w:val="00956C3E"/>
    <w:rsid w:val="00956F56"/>
    <w:rsid w:val="00957436"/>
    <w:rsid w:val="009605EE"/>
    <w:rsid w:val="00960DB4"/>
    <w:rsid w:val="009614A0"/>
    <w:rsid w:val="009615E3"/>
    <w:rsid w:val="00961FCF"/>
    <w:rsid w:val="009620D9"/>
    <w:rsid w:val="00962B96"/>
    <w:rsid w:val="00963503"/>
    <w:rsid w:val="00964158"/>
    <w:rsid w:val="00964631"/>
    <w:rsid w:val="00964A04"/>
    <w:rsid w:val="00964A28"/>
    <w:rsid w:val="00965F76"/>
    <w:rsid w:val="00966492"/>
    <w:rsid w:val="00966EFB"/>
    <w:rsid w:val="00967219"/>
    <w:rsid w:val="00967264"/>
    <w:rsid w:val="00967558"/>
    <w:rsid w:val="00967C48"/>
    <w:rsid w:val="00967E28"/>
    <w:rsid w:val="00970231"/>
    <w:rsid w:val="00970941"/>
    <w:rsid w:val="00970B50"/>
    <w:rsid w:val="00971143"/>
    <w:rsid w:val="009711C0"/>
    <w:rsid w:val="00971390"/>
    <w:rsid w:val="00971D1A"/>
    <w:rsid w:val="0097306B"/>
    <w:rsid w:val="0097318E"/>
    <w:rsid w:val="009735CD"/>
    <w:rsid w:val="00973859"/>
    <w:rsid w:val="00973D02"/>
    <w:rsid w:val="00973DF5"/>
    <w:rsid w:val="0097510C"/>
    <w:rsid w:val="009756C5"/>
    <w:rsid w:val="00975980"/>
    <w:rsid w:val="009761D5"/>
    <w:rsid w:val="0097648F"/>
    <w:rsid w:val="00976EBB"/>
    <w:rsid w:val="0097708B"/>
    <w:rsid w:val="00977507"/>
    <w:rsid w:val="009777C3"/>
    <w:rsid w:val="00977862"/>
    <w:rsid w:val="00977A98"/>
    <w:rsid w:val="00977DD9"/>
    <w:rsid w:val="009800AA"/>
    <w:rsid w:val="009807AD"/>
    <w:rsid w:val="0098081E"/>
    <w:rsid w:val="00980CE1"/>
    <w:rsid w:val="009817A7"/>
    <w:rsid w:val="00981AC8"/>
    <w:rsid w:val="00981CE8"/>
    <w:rsid w:val="00982158"/>
    <w:rsid w:val="009821A6"/>
    <w:rsid w:val="00982ECE"/>
    <w:rsid w:val="009837F9"/>
    <w:rsid w:val="009839B3"/>
    <w:rsid w:val="00983DB6"/>
    <w:rsid w:val="0098411D"/>
    <w:rsid w:val="0098437C"/>
    <w:rsid w:val="00984A27"/>
    <w:rsid w:val="00984A79"/>
    <w:rsid w:val="00984EB1"/>
    <w:rsid w:val="00985173"/>
    <w:rsid w:val="00985420"/>
    <w:rsid w:val="009863BB"/>
    <w:rsid w:val="009870B5"/>
    <w:rsid w:val="0098740E"/>
    <w:rsid w:val="0098764F"/>
    <w:rsid w:val="009876D1"/>
    <w:rsid w:val="00987764"/>
    <w:rsid w:val="009902C9"/>
    <w:rsid w:val="00990901"/>
    <w:rsid w:val="00990E60"/>
    <w:rsid w:val="00991174"/>
    <w:rsid w:val="00991240"/>
    <w:rsid w:val="0099164A"/>
    <w:rsid w:val="009918CC"/>
    <w:rsid w:val="00991B17"/>
    <w:rsid w:val="00991E26"/>
    <w:rsid w:val="00991EC2"/>
    <w:rsid w:val="00991F86"/>
    <w:rsid w:val="0099209E"/>
    <w:rsid w:val="00992CA8"/>
    <w:rsid w:val="00994A9B"/>
    <w:rsid w:val="009955DC"/>
    <w:rsid w:val="009961F3"/>
    <w:rsid w:val="009963A9"/>
    <w:rsid w:val="009964FC"/>
    <w:rsid w:val="00996576"/>
    <w:rsid w:val="00996E32"/>
    <w:rsid w:val="009970A5"/>
    <w:rsid w:val="009973CC"/>
    <w:rsid w:val="00997B96"/>
    <w:rsid w:val="009A0A8D"/>
    <w:rsid w:val="009A0C33"/>
    <w:rsid w:val="009A1266"/>
    <w:rsid w:val="009A16E5"/>
    <w:rsid w:val="009A1FD3"/>
    <w:rsid w:val="009A202C"/>
    <w:rsid w:val="009A259C"/>
    <w:rsid w:val="009A27F7"/>
    <w:rsid w:val="009A2B3B"/>
    <w:rsid w:val="009A2DB1"/>
    <w:rsid w:val="009A30CF"/>
    <w:rsid w:val="009A33E3"/>
    <w:rsid w:val="009A37CF"/>
    <w:rsid w:val="009A390C"/>
    <w:rsid w:val="009A3A7A"/>
    <w:rsid w:val="009A40DD"/>
    <w:rsid w:val="009A4307"/>
    <w:rsid w:val="009A4456"/>
    <w:rsid w:val="009A4461"/>
    <w:rsid w:val="009A45EE"/>
    <w:rsid w:val="009A4943"/>
    <w:rsid w:val="009A4F97"/>
    <w:rsid w:val="009A5B95"/>
    <w:rsid w:val="009A5CAA"/>
    <w:rsid w:val="009A5D33"/>
    <w:rsid w:val="009A655B"/>
    <w:rsid w:val="009A684F"/>
    <w:rsid w:val="009A69DC"/>
    <w:rsid w:val="009A6C69"/>
    <w:rsid w:val="009A78CA"/>
    <w:rsid w:val="009A7B15"/>
    <w:rsid w:val="009A7B33"/>
    <w:rsid w:val="009A7E99"/>
    <w:rsid w:val="009B0EE1"/>
    <w:rsid w:val="009B18EB"/>
    <w:rsid w:val="009B1BF7"/>
    <w:rsid w:val="009B2761"/>
    <w:rsid w:val="009B2847"/>
    <w:rsid w:val="009B2CFF"/>
    <w:rsid w:val="009B37BC"/>
    <w:rsid w:val="009B37E5"/>
    <w:rsid w:val="009B3812"/>
    <w:rsid w:val="009B3EC8"/>
    <w:rsid w:val="009B4293"/>
    <w:rsid w:val="009B4349"/>
    <w:rsid w:val="009B45E7"/>
    <w:rsid w:val="009B4610"/>
    <w:rsid w:val="009B4E00"/>
    <w:rsid w:val="009B542A"/>
    <w:rsid w:val="009B5940"/>
    <w:rsid w:val="009B6256"/>
    <w:rsid w:val="009B6336"/>
    <w:rsid w:val="009B63A5"/>
    <w:rsid w:val="009B6683"/>
    <w:rsid w:val="009B67E2"/>
    <w:rsid w:val="009B6F5E"/>
    <w:rsid w:val="009B6FE3"/>
    <w:rsid w:val="009B7490"/>
    <w:rsid w:val="009C1027"/>
    <w:rsid w:val="009C1041"/>
    <w:rsid w:val="009C10E5"/>
    <w:rsid w:val="009C1314"/>
    <w:rsid w:val="009C164E"/>
    <w:rsid w:val="009C2A88"/>
    <w:rsid w:val="009C3640"/>
    <w:rsid w:val="009C380D"/>
    <w:rsid w:val="009C397B"/>
    <w:rsid w:val="009C3EF9"/>
    <w:rsid w:val="009C4C53"/>
    <w:rsid w:val="009C5384"/>
    <w:rsid w:val="009C5427"/>
    <w:rsid w:val="009C5692"/>
    <w:rsid w:val="009C6074"/>
    <w:rsid w:val="009C6A47"/>
    <w:rsid w:val="009C6CE9"/>
    <w:rsid w:val="009C6D42"/>
    <w:rsid w:val="009C7458"/>
    <w:rsid w:val="009C78C3"/>
    <w:rsid w:val="009C7A32"/>
    <w:rsid w:val="009C7EC0"/>
    <w:rsid w:val="009D0539"/>
    <w:rsid w:val="009D09AE"/>
    <w:rsid w:val="009D0E60"/>
    <w:rsid w:val="009D10CF"/>
    <w:rsid w:val="009D118A"/>
    <w:rsid w:val="009D1300"/>
    <w:rsid w:val="009D1712"/>
    <w:rsid w:val="009D1870"/>
    <w:rsid w:val="009D21C8"/>
    <w:rsid w:val="009D238E"/>
    <w:rsid w:val="009D28D5"/>
    <w:rsid w:val="009D2D28"/>
    <w:rsid w:val="009D2D51"/>
    <w:rsid w:val="009D308F"/>
    <w:rsid w:val="009D3758"/>
    <w:rsid w:val="009D3A8C"/>
    <w:rsid w:val="009D3AC0"/>
    <w:rsid w:val="009D5084"/>
    <w:rsid w:val="009D5126"/>
    <w:rsid w:val="009D5194"/>
    <w:rsid w:val="009D5733"/>
    <w:rsid w:val="009D581C"/>
    <w:rsid w:val="009D5B3E"/>
    <w:rsid w:val="009D63A6"/>
    <w:rsid w:val="009D66A5"/>
    <w:rsid w:val="009D6BBE"/>
    <w:rsid w:val="009D70E0"/>
    <w:rsid w:val="009D766A"/>
    <w:rsid w:val="009E02F9"/>
    <w:rsid w:val="009E0785"/>
    <w:rsid w:val="009E10AD"/>
    <w:rsid w:val="009E11D2"/>
    <w:rsid w:val="009E194A"/>
    <w:rsid w:val="009E1DBB"/>
    <w:rsid w:val="009E1E45"/>
    <w:rsid w:val="009E1E67"/>
    <w:rsid w:val="009E20E8"/>
    <w:rsid w:val="009E216E"/>
    <w:rsid w:val="009E2C8F"/>
    <w:rsid w:val="009E34B2"/>
    <w:rsid w:val="009E38D3"/>
    <w:rsid w:val="009E3A24"/>
    <w:rsid w:val="009E3AB2"/>
    <w:rsid w:val="009E4000"/>
    <w:rsid w:val="009E40FF"/>
    <w:rsid w:val="009E4CAC"/>
    <w:rsid w:val="009E5023"/>
    <w:rsid w:val="009E51FF"/>
    <w:rsid w:val="009E53C0"/>
    <w:rsid w:val="009E574F"/>
    <w:rsid w:val="009E5AB2"/>
    <w:rsid w:val="009E62E2"/>
    <w:rsid w:val="009E6743"/>
    <w:rsid w:val="009E6A70"/>
    <w:rsid w:val="009E6B5A"/>
    <w:rsid w:val="009E7389"/>
    <w:rsid w:val="009E7E21"/>
    <w:rsid w:val="009F07FC"/>
    <w:rsid w:val="009F10D3"/>
    <w:rsid w:val="009F11FA"/>
    <w:rsid w:val="009F1381"/>
    <w:rsid w:val="009F1415"/>
    <w:rsid w:val="009F1447"/>
    <w:rsid w:val="009F1584"/>
    <w:rsid w:val="009F2880"/>
    <w:rsid w:val="009F3061"/>
    <w:rsid w:val="009F3A21"/>
    <w:rsid w:val="009F3BE2"/>
    <w:rsid w:val="009F3DDC"/>
    <w:rsid w:val="009F3E97"/>
    <w:rsid w:val="009F4500"/>
    <w:rsid w:val="009F47EF"/>
    <w:rsid w:val="009F4B3A"/>
    <w:rsid w:val="009F4B9D"/>
    <w:rsid w:val="009F4E37"/>
    <w:rsid w:val="009F5145"/>
    <w:rsid w:val="009F55A1"/>
    <w:rsid w:val="009F5A6D"/>
    <w:rsid w:val="009F5B90"/>
    <w:rsid w:val="009F5D79"/>
    <w:rsid w:val="009F6053"/>
    <w:rsid w:val="009F608A"/>
    <w:rsid w:val="009F60D0"/>
    <w:rsid w:val="009F61E2"/>
    <w:rsid w:val="009F62AD"/>
    <w:rsid w:val="009F6388"/>
    <w:rsid w:val="009F735F"/>
    <w:rsid w:val="009F77DF"/>
    <w:rsid w:val="009F780D"/>
    <w:rsid w:val="009F7B4C"/>
    <w:rsid w:val="009F7BC3"/>
    <w:rsid w:val="009F7CF2"/>
    <w:rsid w:val="00A005A0"/>
    <w:rsid w:val="00A00B18"/>
    <w:rsid w:val="00A00EED"/>
    <w:rsid w:val="00A01D52"/>
    <w:rsid w:val="00A02344"/>
    <w:rsid w:val="00A02D78"/>
    <w:rsid w:val="00A02FB9"/>
    <w:rsid w:val="00A038F4"/>
    <w:rsid w:val="00A03A89"/>
    <w:rsid w:val="00A03C1E"/>
    <w:rsid w:val="00A044EC"/>
    <w:rsid w:val="00A04E39"/>
    <w:rsid w:val="00A051AD"/>
    <w:rsid w:val="00A053D0"/>
    <w:rsid w:val="00A05C92"/>
    <w:rsid w:val="00A05D76"/>
    <w:rsid w:val="00A05E09"/>
    <w:rsid w:val="00A061A2"/>
    <w:rsid w:val="00A0663C"/>
    <w:rsid w:val="00A072CE"/>
    <w:rsid w:val="00A07584"/>
    <w:rsid w:val="00A07AF2"/>
    <w:rsid w:val="00A1001B"/>
    <w:rsid w:val="00A10043"/>
    <w:rsid w:val="00A1050D"/>
    <w:rsid w:val="00A10C31"/>
    <w:rsid w:val="00A10E57"/>
    <w:rsid w:val="00A11093"/>
    <w:rsid w:val="00A11C3A"/>
    <w:rsid w:val="00A11F69"/>
    <w:rsid w:val="00A12F05"/>
    <w:rsid w:val="00A13296"/>
    <w:rsid w:val="00A13B63"/>
    <w:rsid w:val="00A13CC8"/>
    <w:rsid w:val="00A1535A"/>
    <w:rsid w:val="00A15659"/>
    <w:rsid w:val="00A15BA0"/>
    <w:rsid w:val="00A1625B"/>
    <w:rsid w:val="00A167D1"/>
    <w:rsid w:val="00A17106"/>
    <w:rsid w:val="00A17367"/>
    <w:rsid w:val="00A1765B"/>
    <w:rsid w:val="00A205A9"/>
    <w:rsid w:val="00A20815"/>
    <w:rsid w:val="00A2082B"/>
    <w:rsid w:val="00A20F84"/>
    <w:rsid w:val="00A21498"/>
    <w:rsid w:val="00A218D2"/>
    <w:rsid w:val="00A21B05"/>
    <w:rsid w:val="00A21B98"/>
    <w:rsid w:val="00A21DA8"/>
    <w:rsid w:val="00A22475"/>
    <w:rsid w:val="00A22486"/>
    <w:rsid w:val="00A22A45"/>
    <w:rsid w:val="00A22EC6"/>
    <w:rsid w:val="00A23065"/>
    <w:rsid w:val="00A236CB"/>
    <w:rsid w:val="00A23C74"/>
    <w:rsid w:val="00A23EFD"/>
    <w:rsid w:val="00A243E5"/>
    <w:rsid w:val="00A247F7"/>
    <w:rsid w:val="00A25031"/>
    <w:rsid w:val="00A250F2"/>
    <w:rsid w:val="00A25293"/>
    <w:rsid w:val="00A26803"/>
    <w:rsid w:val="00A26FB2"/>
    <w:rsid w:val="00A30011"/>
    <w:rsid w:val="00A30690"/>
    <w:rsid w:val="00A3099F"/>
    <w:rsid w:val="00A30C1D"/>
    <w:rsid w:val="00A30D01"/>
    <w:rsid w:val="00A30F57"/>
    <w:rsid w:val="00A30FDB"/>
    <w:rsid w:val="00A3167E"/>
    <w:rsid w:val="00A317AD"/>
    <w:rsid w:val="00A31FB0"/>
    <w:rsid w:val="00A32077"/>
    <w:rsid w:val="00A321EB"/>
    <w:rsid w:val="00A32FD0"/>
    <w:rsid w:val="00A33913"/>
    <w:rsid w:val="00A33C35"/>
    <w:rsid w:val="00A34104"/>
    <w:rsid w:val="00A3435E"/>
    <w:rsid w:val="00A34735"/>
    <w:rsid w:val="00A34795"/>
    <w:rsid w:val="00A347F6"/>
    <w:rsid w:val="00A35632"/>
    <w:rsid w:val="00A3592A"/>
    <w:rsid w:val="00A359A9"/>
    <w:rsid w:val="00A36330"/>
    <w:rsid w:val="00A3642E"/>
    <w:rsid w:val="00A36471"/>
    <w:rsid w:val="00A36BDF"/>
    <w:rsid w:val="00A36CE7"/>
    <w:rsid w:val="00A373E6"/>
    <w:rsid w:val="00A374FB"/>
    <w:rsid w:val="00A37523"/>
    <w:rsid w:val="00A375EE"/>
    <w:rsid w:val="00A37669"/>
    <w:rsid w:val="00A376D5"/>
    <w:rsid w:val="00A40100"/>
    <w:rsid w:val="00A40161"/>
    <w:rsid w:val="00A405B0"/>
    <w:rsid w:val="00A40A07"/>
    <w:rsid w:val="00A41114"/>
    <w:rsid w:val="00A41403"/>
    <w:rsid w:val="00A417E3"/>
    <w:rsid w:val="00A41B96"/>
    <w:rsid w:val="00A41D6A"/>
    <w:rsid w:val="00A41E2D"/>
    <w:rsid w:val="00A42349"/>
    <w:rsid w:val="00A4238E"/>
    <w:rsid w:val="00A4256E"/>
    <w:rsid w:val="00A4291E"/>
    <w:rsid w:val="00A4314C"/>
    <w:rsid w:val="00A4350C"/>
    <w:rsid w:val="00A43619"/>
    <w:rsid w:val="00A441B7"/>
    <w:rsid w:val="00A44317"/>
    <w:rsid w:val="00A443D7"/>
    <w:rsid w:val="00A445A6"/>
    <w:rsid w:val="00A44665"/>
    <w:rsid w:val="00A44841"/>
    <w:rsid w:val="00A45619"/>
    <w:rsid w:val="00A45B90"/>
    <w:rsid w:val="00A45D3E"/>
    <w:rsid w:val="00A45ED1"/>
    <w:rsid w:val="00A46446"/>
    <w:rsid w:val="00A46B0A"/>
    <w:rsid w:val="00A47489"/>
    <w:rsid w:val="00A47582"/>
    <w:rsid w:val="00A47D9E"/>
    <w:rsid w:val="00A47FA5"/>
    <w:rsid w:val="00A50ABE"/>
    <w:rsid w:val="00A50E32"/>
    <w:rsid w:val="00A51078"/>
    <w:rsid w:val="00A51543"/>
    <w:rsid w:val="00A519C6"/>
    <w:rsid w:val="00A52BFE"/>
    <w:rsid w:val="00A5301C"/>
    <w:rsid w:val="00A535F2"/>
    <w:rsid w:val="00A53801"/>
    <w:rsid w:val="00A540A4"/>
    <w:rsid w:val="00A541E3"/>
    <w:rsid w:val="00A54592"/>
    <w:rsid w:val="00A55606"/>
    <w:rsid w:val="00A557EC"/>
    <w:rsid w:val="00A55C5F"/>
    <w:rsid w:val="00A560AC"/>
    <w:rsid w:val="00A5632F"/>
    <w:rsid w:val="00A563E6"/>
    <w:rsid w:val="00A56503"/>
    <w:rsid w:val="00A57193"/>
    <w:rsid w:val="00A575E3"/>
    <w:rsid w:val="00A57804"/>
    <w:rsid w:val="00A57C6C"/>
    <w:rsid w:val="00A57F96"/>
    <w:rsid w:val="00A60052"/>
    <w:rsid w:val="00A6056E"/>
    <w:rsid w:val="00A608E6"/>
    <w:rsid w:val="00A60EA5"/>
    <w:rsid w:val="00A6136A"/>
    <w:rsid w:val="00A613D8"/>
    <w:rsid w:val="00A6188B"/>
    <w:rsid w:val="00A61903"/>
    <w:rsid w:val="00A61EC1"/>
    <w:rsid w:val="00A6214E"/>
    <w:rsid w:val="00A63509"/>
    <w:rsid w:val="00A636AE"/>
    <w:rsid w:val="00A637BD"/>
    <w:rsid w:val="00A63856"/>
    <w:rsid w:val="00A6455E"/>
    <w:rsid w:val="00A6488E"/>
    <w:rsid w:val="00A6503E"/>
    <w:rsid w:val="00A6573A"/>
    <w:rsid w:val="00A66144"/>
    <w:rsid w:val="00A66FC3"/>
    <w:rsid w:val="00A67149"/>
    <w:rsid w:val="00A67B18"/>
    <w:rsid w:val="00A701D6"/>
    <w:rsid w:val="00A702F0"/>
    <w:rsid w:val="00A703A3"/>
    <w:rsid w:val="00A706A9"/>
    <w:rsid w:val="00A70758"/>
    <w:rsid w:val="00A70D47"/>
    <w:rsid w:val="00A71601"/>
    <w:rsid w:val="00A71BA3"/>
    <w:rsid w:val="00A74185"/>
    <w:rsid w:val="00A7439D"/>
    <w:rsid w:val="00A746F0"/>
    <w:rsid w:val="00A7491E"/>
    <w:rsid w:val="00A74C4D"/>
    <w:rsid w:val="00A74FCF"/>
    <w:rsid w:val="00A75083"/>
    <w:rsid w:val="00A751F3"/>
    <w:rsid w:val="00A754AF"/>
    <w:rsid w:val="00A759F0"/>
    <w:rsid w:val="00A75A10"/>
    <w:rsid w:val="00A7648D"/>
    <w:rsid w:val="00A76805"/>
    <w:rsid w:val="00A772E0"/>
    <w:rsid w:val="00A773BB"/>
    <w:rsid w:val="00A77844"/>
    <w:rsid w:val="00A77C4D"/>
    <w:rsid w:val="00A77D5A"/>
    <w:rsid w:val="00A77DEB"/>
    <w:rsid w:val="00A80181"/>
    <w:rsid w:val="00A802A3"/>
    <w:rsid w:val="00A809CE"/>
    <w:rsid w:val="00A80A33"/>
    <w:rsid w:val="00A81CD3"/>
    <w:rsid w:val="00A82CC5"/>
    <w:rsid w:val="00A82F15"/>
    <w:rsid w:val="00A83077"/>
    <w:rsid w:val="00A8311C"/>
    <w:rsid w:val="00A836F8"/>
    <w:rsid w:val="00A83F83"/>
    <w:rsid w:val="00A843BF"/>
    <w:rsid w:val="00A84D29"/>
    <w:rsid w:val="00A84F5B"/>
    <w:rsid w:val="00A851EF"/>
    <w:rsid w:val="00A857A1"/>
    <w:rsid w:val="00A85A51"/>
    <w:rsid w:val="00A85B05"/>
    <w:rsid w:val="00A86358"/>
    <w:rsid w:val="00A865A5"/>
    <w:rsid w:val="00A86D39"/>
    <w:rsid w:val="00A86F02"/>
    <w:rsid w:val="00A87193"/>
    <w:rsid w:val="00A875F7"/>
    <w:rsid w:val="00A90258"/>
    <w:rsid w:val="00A907A0"/>
    <w:rsid w:val="00A90B12"/>
    <w:rsid w:val="00A90BC6"/>
    <w:rsid w:val="00A9134A"/>
    <w:rsid w:val="00A913C7"/>
    <w:rsid w:val="00A91660"/>
    <w:rsid w:val="00A91894"/>
    <w:rsid w:val="00A91B46"/>
    <w:rsid w:val="00A92B95"/>
    <w:rsid w:val="00A92D7F"/>
    <w:rsid w:val="00A92F37"/>
    <w:rsid w:val="00A93BF2"/>
    <w:rsid w:val="00A93C4E"/>
    <w:rsid w:val="00A9431E"/>
    <w:rsid w:val="00A944CD"/>
    <w:rsid w:val="00A94845"/>
    <w:rsid w:val="00A949E2"/>
    <w:rsid w:val="00A95012"/>
    <w:rsid w:val="00A952F7"/>
    <w:rsid w:val="00A95C15"/>
    <w:rsid w:val="00A96A6B"/>
    <w:rsid w:val="00A976B3"/>
    <w:rsid w:val="00A9799A"/>
    <w:rsid w:val="00A97D62"/>
    <w:rsid w:val="00A97F66"/>
    <w:rsid w:val="00AA0852"/>
    <w:rsid w:val="00AA0E71"/>
    <w:rsid w:val="00AA1204"/>
    <w:rsid w:val="00AA171B"/>
    <w:rsid w:val="00AA1835"/>
    <w:rsid w:val="00AA18F7"/>
    <w:rsid w:val="00AA1AB0"/>
    <w:rsid w:val="00AA28A1"/>
    <w:rsid w:val="00AA2BC4"/>
    <w:rsid w:val="00AA2C99"/>
    <w:rsid w:val="00AA329B"/>
    <w:rsid w:val="00AA33D9"/>
    <w:rsid w:val="00AA3CB7"/>
    <w:rsid w:val="00AA3E2E"/>
    <w:rsid w:val="00AA5153"/>
    <w:rsid w:val="00AA55A3"/>
    <w:rsid w:val="00AA55EA"/>
    <w:rsid w:val="00AA5B4F"/>
    <w:rsid w:val="00AA5E6E"/>
    <w:rsid w:val="00AA6371"/>
    <w:rsid w:val="00AA64E8"/>
    <w:rsid w:val="00AA6831"/>
    <w:rsid w:val="00AA69D1"/>
    <w:rsid w:val="00AA6E5A"/>
    <w:rsid w:val="00AA7567"/>
    <w:rsid w:val="00AB0410"/>
    <w:rsid w:val="00AB099E"/>
    <w:rsid w:val="00AB0C64"/>
    <w:rsid w:val="00AB198F"/>
    <w:rsid w:val="00AB1A78"/>
    <w:rsid w:val="00AB21B6"/>
    <w:rsid w:val="00AB2393"/>
    <w:rsid w:val="00AB24D2"/>
    <w:rsid w:val="00AB2971"/>
    <w:rsid w:val="00AB2F26"/>
    <w:rsid w:val="00AB3796"/>
    <w:rsid w:val="00AB384E"/>
    <w:rsid w:val="00AB3CE5"/>
    <w:rsid w:val="00AB3FA2"/>
    <w:rsid w:val="00AB41FE"/>
    <w:rsid w:val="00AB42C4"/>
    <w:rsid w:val="00AB4A3E"/>
    <w:rsid w:val="00AB4C4A"/>
    <w:rsid w:val="00AB50A7"/>
    <w:rsid w:val="00AB55B3"/>
    <w:rsid w:val="00AB587F"/>
    <w:rsid w:val="00AB5931"/>
    <w:rsid w:val="00AB5F3B"/>
    <w:rsid w:val="00AB66A2"/>
    <w:rsid w:val="00AB6909"/>
    <w:rsid w:val="00AB6A7C"/>
    <w:rsid w:val="00AB706D"/>
    <w:rsid w:val="00AB78AB"/>
    <w:rsid w:val="00AB7AFB"/>
    <w:rsid w:val="00AB7E88"/>
    <w:rsid w:val="00AC06E2"/>
    <w:rsid w:val="00AC075C"/>
    <w:rsid w:val="00AC0915"/>
    <w:rsid w:val="00AC0968"/>
    <w:rsid w:val="00AC0BA4"/>
    <w:rsid w:val="00AC18F1"/>
    <w:rsid w:val="00AC1E34"/>
    <w:rsid w:val="00AC1EB5"/>
    <w:rsid w:val="00AC23C0"/>
    <w:rsid w:val="00AC23DB"/>
    <w:rsid w:val="00AC28D4"/>
    <w:rsid w:val="00AC31D7"/>
    <w:rsid w:val="00AC33A0"/>
    <w:rsid w:val="00AC3E7F"/>
    <w:rsid w:val="00AC4087"/>
    <w:rsid w:val="00AC40E6"/>
    <w:rsid w:val="00AC421E"/>
    <w:rsid w:val="00AC428E"/>
    <w:rsid w:val="00AC458B"/>
    <w:rsid w:val="00AC4617"/>
    <w:rsid w:val="00AC4A78"/>
    <w:rsid w:val="00AC4EBC"/>
    <w:rsid w:val="00AC5520"/>
    <w:rsid w:val="00AC5842"/>
    <w:rsid w:val="00AC6101"/>
    <w:rsid w:val="00AC64FA"/>
    <w:rsid w:val="00AC66EA"/>
    <w:rsid w:val="00AC73BB"/>
    <w:rsid w:val="00AC7C6C"/>
    <w:rsid w:val="00AC7E48"/>
    <w:rsid w:val="00AD0063"/>
    <w:rsid w:val="00AD0236"/>
    <w:rsid w:val="00AD065A"/>
    <w:rsid w:val="00AD0B34"/>
    <w:rsid w:val="00AD0F6D"/>
    <w:rsid w:val="00AD1506"/>
    <w:rsid w:val="00AD1F87"/>
    <w:rsid w:val="00AD318A"/>
    <w:rsid w:val="00AD3AF2"/>
    <w:rsid w:val="00AD3F29"/>
    <w:rsid w:val="00AD42CA"/>
    <w:rsid w:val="00AD4532"/>
    <w:rsid w:val="00AD4CC2"/>
    <w:rsid w:val="00AD53FA"/>
    <w:rsid w:val="00AD5432"/>
    <w:rsid w:val="00AD5883"/>
    <w:rsid w:val="00AD5FC4"/>
    <w:rsid w:val="00AD7149"/>
    <w:rsid w:val="00AE0066"/>
    <w:rsid w:val="00AE0352"/>
    <w:rsid w:val="00AE044C"/>
    <w:rsid w:val="00AE0548"/>
    <w:rsid w:val="00AE0A55"/>
    <w:rsid w:val="00AE1184"/>
    <w:rsid w:val="00AE1404"/>
    <w:rsid w:val="00AE1C2E"/>
    <w:rsid w:val="00AE1E70"/>
    <w:rsid w:val="00AE20FE"/>
    <w:rsid w:val="00AE28E4"/>
    <w:rsid w:val="00AE295F"/>
    <w:rsid w:val="00AE35C7"/>
    <w:rsid w:val="00AE3643"/>
    <w:rsid w:val="00AE3743"/>
    <w:rsid w:val="00AE3912"/>
    <w:rsid w:val="00AE4175"/>
    <w:rsid w:val="00AE4426"/>
    <w:rsid w:val="00AE45D5"/>
    <w:rsid w:val="00AE5811"/>
    <w:rsid w:val="00AE5993"/>
    <w:rsid w:val="00AE5DDC"/>
    <w:rsid w:val="00AE5E69"/>
    <w:rsid w:val="00AE7443"/>
    <w:rsid w:val="00AE77C7"/>
    <w:rsid w:val="00AE7B8A"/>
    <w:rsid w:val="00AE7F1F"/>
    <w:rsid w:val="00AF0373"/>
    <w:rsid w:val="00AF03C9"/>
    <w:rsid w:val="00AF072B"/>
    <w:rsid w:val="00AF0EA9"/>
    <w:rsid w:val="00AF101C"/>
    <w:rsid w:val="00AF1029"/>
    <w:rsid w:val="00AF1EDF"/>
    <w:rsid w:val="00AF2A12"/>
    <w:rsid w:val="00AF39E4"/>
    <w:rsid w:val="00AF43EC"/>
    <w:rsid w:val="00AF4882"/>
    <w:rsid w:val="00AF5409"/>
    <w:rsid w:val="00AF5548"/>
    <w:rsid w:val="00AF58C6"/>
    <w:rsid w:val="00AF599E"/>
    <w:rsid w:val="00AF5DDD"/>
    <w:rsid w:val="00AF71AB"/>
    <w:rsid w:val="00AF7B63"/>
    <w:rsid w:val="00AF7CA8"/>
    <w:rsid w:val="00AF7D82"/>
    <w:rsid w:val="00AF7E87"/>
    <w:rsid w:val="00AF7F3C"/>
    <w:rsid w:val="00B00190"/>
    <w:rsid w:val="00B00253"/>
    <w:rsid w:val="00B0068E"/>
    <w:rsid w:val="00B00712"/>
    <w:rsid w:val="00B01091"/>
    <w:rsid w:val="00B01117"/>
    <w:rsid w:val="00B01374"/>
    <w:rsid w:val="00B01551"/>
    <w:rsid w:val="00B01C36"/>
    <w:rsid w:val="00B02212"/>
    <w:rsid w:val="00B02A5A"/>
    <w:rsid w:val="00B030D4"/>
    <w:rsid w:val="00B034A0"/>
    <w:rsid w:val="00B03641"/>
    <w:rsid w:val="00B039E9"/>
    <w:rsid w:val="00B03D8B"/>
    <w:rsid w:val="00B04247"/>
    <w:rsid w:val="00B0449D"/>
    <w:rsid w:val="00B04D80"/>
    <w:rsid w:val="00B059A0"/>
    <w:rsid w:val="00B059E1"/>
    <w:rsid w:val="00B05A9F"/>
    <w:rsid w:val="00B05FA0"/>
    <w:rsid w:val="00B067C7"/>
    <w:rsid w:val="00B0708A"/>
    <w:rsid w:val="00B07219"/>
    <w:rsid w:val="00B072FE"/>
    <w:rsid w:val="00B07680"/>
    <w:rsid w:val="00B076C2"/>
    <w:rsid w:val="00B07765"/>
    <w:rsid w:val="00B07DD1"/>
    <w:rsid w:val="00B07E33"/>
    <w:rsid w:val="00B07F6A"/>
    <w:rsid w:val="00B102D0"/>
    <w:rsid w:val="00B108A7"/>
    <w:rsid w:val="00B11497"/>
    <w:rsid w:val="00B114BB"/>
    <w:rsid w:val="00B1180D"/>
    <w:rsid w:val="00B119BE"/>
    <w:rsid w:val="00B11BC5"/>
    <w:rsid w:val="00B11ED2"/>
    <w:rsid w:val="00B1209A"/>
    <w:rsid w:val="00B12138"/>
    <w:rsid w:val="00B1282D"/>
    <w:rsid w:val="00B13EB8"/>
    <w:rsid w:val="00B14362"/>
    <w:rsid w:val="00B154D2"/>
    <w:rsid w:val="00B16126"/>
    <w:rsid w:val="00B16546"/>
    <w:rsid w:val="00B16959"/>
    <w:rsid w:val="00B16B03"/>
    <w:rsid w:val="00B16CB7"/>
    <w:rsid w:val="00B174C3"/>
    <w:rsid w:val="00B17D7B"/>
    <w:rsid w:val="00B21AAA"/>
    <w:rsid w:val="00B21C26"/>
    <w:rsid w:val="00B223B9"/>
    <w:rsid w:val="00B225E2"/>
    <w:rsid w:val="00B2265D"/>
    <w:rsid w:val="00B228EE"/>
    <w:rsid w:val="00B231F5"/>
    <w:rsid w:val="00B234A1"/>
    <w:rsid w:val="00B246AD"/>
    <w:rsid w:val="00B24E27"/>
    <w:rsid w:val="00B25333"/>
    <w:rsid w:val="00B25CB8"/>
    <w:rsid w:val="00B262AF"/>
    <w:rsid w:val="00B264DF"/>
    <w:rsid w:val="00B2656B"/>
    <w:rsid w:val="00B276E4"/>
    <w:rsid w:val="00B27CC0"/>
    <w:rsid w:val="00B30275"/>
    <w:rsid w:val="00B30771"/>
    <w:rsid w:val="00B30A7E"/>
    <w:rsid w:val="00B30CD9"/>
    <w:rsid w:val="00B30D08"/>
    <w:rsid w:val="00B31525"/>
    <w:rsid w:val="00B317E6"/>
    <w:rsid w:val="00B31F94"/>
    <w:rsid w:val="00B32663"/>
    <w:rsid w:val="00B32851"/>
    <w:rsid w:val="00B32F44"/>
    <w:rsid w:val="00B343EA"/>
    <w:rsid w:val="00B34AEE"/>
    <w:rsid w:val="00B362B1"/>
    <w:rsid w:val="00B36A73"/>
    <w:rsid w:val="00B36B82"/>
    <w:rsid w:val="00B36E40"/>
    <w:rsid w:val="00B37219"/>
    <w:rsid w:val="00B375B6"/>
    <w:rsid w:val="00B3763D"/>
    <w:rsid w:val="00B37CFE"/>
    <w:rsid w:val="00B37FF3"/>
    <w:rsid w:val="00B402D0"/>
    <w:rsid w:val="00B40C96"/>
    <w:rsid w:val="00B40CA9"/>
    <w:rsid w:val="00B40D8F"/>
    <w:rsid w:val="00B40F72"/>
    <w:rsid w:val="00B4102C"/>
    <w:rsid w:val="00B41784"/>
    <w:rsid w:val="00B41936"/>
    <w:rsid w:val="00B428A6"/>
    <w:rsid w:val="00B42D3B"/>
    <w:rsid w:val="00B43A02"/>
    <w:rsid w:val="00B43BA8"/>
    <w:rsid w:val="00B43BF2"/>
    <w:rsid w:val="00B43BF4"/>
    <w:rsid w:val="00B441E2"/>
    <w:rsid w:val="00B44FF3"/>
    <w:rsid w:val="00B451DF"/>
    <w:rsid w:val="00B452B4"/>
    <w:rsid w:val="00B45E41"/>
    <w:rsid w:val="00B45E46"/>
    <w:rsid w:val="00B4662A"/>
    <w:rsid w:val="00B46930"/>
    <w:rsid w:val="00B46A86"/>
    <w:rsid w:val="00B46A8A"/>
    <w:rsid w:val="00B46CAD"/>
    <w:rsid w:val="00B46F12"/>
    <w:rsid w:val="00B47CAD"/>
    <w:rsid w:val="00B501A0"/>
    <w:rsid w:val="00B50A48"/>
    <w:rsid w:val="00B50CE8"/>
    <w:rsid w:val="00B512CF"/>
    <w:rsid w:val="00B515E4"/>
    <w:rsid w:val="00B51735"/>
    <w:rsid w:val="00B520EC"/>
    <w:rsid w:val="00B521A3"/>
    <w:rsid w:val="00B52535"/>
    <w:rsid w:val="00B5268A"/>
    <w:rsid w:val="00B52E98"/>
    <w:rsid w:val="00B52F99"/>
    <w:rsid w:val="00B532B6"/>
    <w:rsid w:val="00B536C1"/>
    <w:rsid w:val="00B53779"/>
    <w:rsid w:val="00B53F16"/>
    <w:rsid w:val="00B541B2"/>
    <w:rsid w:val="00B544BF"/>
    <w:rsid w:val="00B5474A"/>
    <w:rsid w:val="00B5484D"/>
    <w:rsid w:val="00B54D4E"/>
    <w:rsid w:val="00B54D85"/>
    <w:rsid w:val="00B54FC0"/>
    <w:rsid w:val="00B551D2"/>
    <w:rsid w:val="00B556CF"/>
    <w:rsid w:val="00B556D4"/>
    <w:rsid w:val="00B55785"/>
    <w:rsid w:val="00B55B3A"/>
    <w:rsid w:val="00B560B2"/>
    <w:rsid w:val="00B563AE"/>
    <w:rsid w:val="00B565A6"/>
    <w:rsid w:val="00B56695"/>
    <w:rsid w:val="00B57D0A"/>
    <w:rsid w:val="00B608CD"/>
    <w:rsid w:val="00B608EC"/>
    <w:rsid w:val="00B619B9"/>
    <w:rsid w:val="00B61BC6"/>
    <w:rsid w:val="00B61ED0"/>
    <w:rsid w:val="00B62377"/>
    <w:rsid w:val="00B626DF"/>
    <w:rsid w:val="00B62BC1"/>
    <w:rsid w:val="00B63A25"/>
    <w:rsid w:val="00B6428F"/>
    <w:rsid w:val="00B646B7"/>
    <w:rsid w:val="00B64C53"/>
    <w:rsid w:val="00B65683"/>
    <w:rsid w:val="00B65CCB"/>
    <w:rsid w:val="00B6628E"/>
    <w:rsid w:val="00B662B0"/>
    <w:rsid w:val="00B66739"/>
    <w:rsid w:val="00B6676D"/>
    <w:rsid w:val="00B66AAC"/>
    <w:rsid w:val="00B66C00"/>
    <w:rsid w:val="00B66C9A"/>
    <w:rsid w:val="00B671CF"/>
    <w:rsid w:val="00B67BDB"/>
    <w:rsid w:val="00B70BAF"/>
    <w:rsid w:val="00B7152C"/>
    <w:rsid w:val="00B716CF"/>
    <w:rsid w:val="00B71A04"/>
    <w:rsid w:val="00B7210B"/>
    <w:rsid w:val="00B72A2F"/>
    <w:rsid w:val="00B73C6E"/>
    <w:rsid w:val="00B74641"/>
    <w:rsid w:val="00B74A54"/>
    <w:rsid w:val="00B74D7D"/>
    <w:rsid w:val="00B74DC6"/>
    <w:rsid w:val="00B74FF6"/>
    <w:rsid w:val="00B758DE"/>
    <w:rsid w:val="00B75D38"/>
    <w:rsid w:val="00B75F67"/>
    <w:rsid w:val="00B76A83"/>
    <w:rsid w:val="00B76B55"/>
    <w:rsid w:val="00B76E86"/>
    <w:rsid w:val="00B771AE"/>
    <w:rsid w:val="00B771B8"/>
    <w:rsid w:val="00B77556"/>
    <w:rsid w:val="00B77657"/>
    <w:rsid w:val="00B7768A"/>
    <w:rsid w:val="00B77C8F"/>
    <w:rsid w:val="00B77CE1"/>
    <w:rsid w:val="00B800C6"/>
    <w:rsid w:val="00B80197"/>
    <w:rsid w:val="00B801BB"/>
    <w:rsid w:val="00B801E2"/>
    <w:rsid w:val="00B80330"/>
    <w:rsid w:val="00B80606"/>
    <w:rsid w:val="00B807FF"/>
    <w:rsid w:val="00B809C2"/>
    <w:rsid w:val="00B80A68"/>
    <w:rsid w:val="00B811D7"/>
    <w:rsid w:val="00B815C5"/>
    <w:rsid w:val="00B820B0"/>
    <w:rsid w:val="00B821B2"/>
    <w:rsid w:val="00B82225"/>
    <w:rsid w:val="00B827C8"/>
    <w:rsid w:val="00B82DBA"/>
    <w:rsid w:val="00B82EA0"/>
    <w:rsid w:val="00B83476"/>
    <w:rsid w:val="00B837CE"/>
    <w:rsid w:val="00B838DA"/>
    <w:rsid w:val="00B83923"/>
    <w:rsid w:val="00B841BA"/>
    <w:rsid w:val="00B843DD"/>
    <w:rsid w:val="00B847B0"/>
    <w:rsid w:val="00B848AF"/>
    <w:rsid w:val="00B84C4B"/>
    <w:rsid w:val="00B85F5D"/>
    <w:rsid w:val="00B85F61"/>
    <w:rsid w:val="00B86475"/>
    <w:rsid w:val="00B869F1"/>
    <w:rsid w:val="00B86FA4"/>
    <w:rsid w:val="00B872EE"/>
    <w:rsid w:val="00B875E5"/>
    <w:rsid w:val="00B87CA0"/>
    <w:rsid w:val="00B9033A"/>
    <w:rsid w:val="00B90C1B"/>
    <w:rsid w:val="00B90E23"/>
    <w:rsid w:val="00B91013"/>
    <w:rsid w:val="00B91084"/>
    <w:rsid w:val="00B91161"/>
    <w:rsid w:val="00B9132A"/>
    <w:rsid w:val="00B9187F"/>
    <w:rsid w:val="00B9248D"/>
    <w:rsid w:val="00B924A3"/>
    <w:rsid w:val="00B92A56"/>
    <w:rsid w:val="00B92C44"/>
    <w:rsid w:val="00B92E46"/>
    <w:rsid w:val="00B93225"/>
    <w:rsid w:val="00B93283"/>
    <w:rsid w:val="00B93540"/>
    <w:rsid w:val="00B93770"/>
    <w:rsid w:val="00B937C3"/>
    <w:rsid w:val="00B93E7A"/>
    <w:rsid w:val="00B9409A"/>
    <w:rsid w:val="00B946AA"/>
    <w:rsid w:val="00B94BCF"/>
    <w:rsid w:val="00B94C3E"/>
    <w:rsid w:val="00B95003"/>
    <w:rsid w:val="00B9500A"/>
    <w:rsid w:val="00B95634"/>
    <w:rsid w:val="00B95AE3"/>
    <w:rsid w:val="00B96144"/>
    <w:rsid w:val="00B966E3"/>
    <w:rsid w:val="00B96707"/>
    <w:rsid w:val="00B96A2A"/>
    <w:rsid w:val="00B972ED"/>
    <w:rsid w:val="00B974FC"/>
    <w:rsid w:val="00B97844"/>
    <w:rsid w:val="00BA01A9"/>
    <w:rsid w:val="00BA03BB"/>
    <w:rsid w:val="00BA08CC"/>
    <w:rsid w:val="00BA0CE4"/>
    <w:rsid w:val="00BA0E9C"/>
    <w:rsid w:val="00BA0F5A"/>
    <w:rsid w:val="00BA192B"/>
    <w:rsid w:val="00BA19EC"/>
    <w:rsid w:val="00BA27B9"/>
    <w:rsid w:val="00BA30AB"/>
    <w:rsid w:val="00BA341D"/>
    <w:rsid w:val="00BA37A2"/>
    <w:rsid w:val="00BA3B47"/>
    <w:rsid w:val="00BA3D65"/>
    <w:rsid w:val="00BA50D4"/>
    <w:rsid w:val="00BA5B01"/>
    <w:rsid w:val="00BA5F9A"/>
    <w:rsid w:val="00BA60F4"/>
    <w:rsid w:val="00BA61DF"/>
    <w:rsid w:val="00BA6E55"/>
    <w:rsid w:val="00BA7487"/>
    <w:rsid w:val="00BA75E1"/>
    <w:rsid w:val="00BA7C26"/>
    <w:rsid w:val="00BA7D49"/>
    <w:rsid w:val="00BA7E0E"/>
    <w:rsid w:val="00BB0C00"/>
    <w:rsid w:val="00BB0EA6"/>
    <w:rsid w:val="00BB1CC4"/>
    <w:rsid w:val="00BB223D"/>
    <w:rsid w:val="00BB23D9"/>
    <w:rsid w:val="00BB2607"/>
    <w:rsid w:val="00BB2CE1"/>
    <w:rsid w:val="00BB31DA"/>
    <w:rsid w:val="00BB32BC"/>
    <w:rsid w:val="00BB3990"/>
    <w:rsid w:val="00BB3A4F"/>
    <w:rsid w:val="00BB3BD8"/>
    <w:rsid w:val="00BB4083"/>
    <w:rsid w:val="00BB4D2E"/>
    <w:rsid w:val="00BB5164"/>
    <w:rsid w:val="00BB55D9"/>
    <w:rsid w:val="00BB584A"/>
    <w:rsid w:val="00BB5898"/>
    <w:rsid w:val="00BB6630"/>
    <w:rsid w:val="00BB70FB"/>
    <w:rsid w:val="00BB74DD"/>
    <w:rsid w:val="00BB76B3"/>
    <w:rsid w:val="00BB77D0"/>
    <w:rsid w:val="00BB791B"/>
    <w:rsid w:val="00BB7CF9"/>
    <w:rsid w:val="00BB7DEB"/>
    <w:rsid w:val="00BC037E"/>
    <w:rsid w:val="00BC06A5"/>
    <w:rsid w:val="00BC06F3"/>
    <w:rsid w:val="00BC0CB0"/>
    <w:rsid w:val="00BC108F"/>
    <w:rsid w:val="00BC13D2"/>
    <w:rsid w:val="00BC1613"/>
    <w:rsid w:val="00BC17DF"/>
    <w:rsid w:val="00BC1804"/>
    <w:rsid w:val="00BC1D2B"/>
    <w:rsid w:val="00BC1FF3"/>
    <w:rsid w:val="00BC23D9"/>
    <w:rsid w:val="00BC28A2"/>
    <w:rsid w:val="00BC33B4"/>
    <w:rsid w:val="00BC344D"/>
    <w:rsid w:val="00BC38D5"/>
    <w:rsid w:val="00BC3CD8"/>
    <w:rsid w:val="00BC3D33"/>
    <w:rsid w:val="00BC419B"/>
    <w:rsid w:val="00BC4521"/>
    <w:rsid w:val="00BC4818"/>
    <w:rsid w:val="00BC5A0B"/>
    <w:rsid w:val="00BC5B97"/>
    <w:rsid w:val="00BC5F37"/>
    <w:rsid w:val="00BC6043"/>
    <w:rsid w:val="00BC61BF"/>
    <w:rsid w:val="00BC627F"/>
    <w:rsid w:val="00BC63BB"/>
    <w:rsid w:val="00BC63C5"/>
    <w:rsid w:val="00BC6445"/>
    <w:rsid w:val="00BC6A93"/>
    <w:rsid w:val="00BC6BCA"/>
    <w:rsid w:val="00BC6E09"/>
    <w:rsid w:val="00BC74C4"/>
    <w:rsid w:val="00BC7A20"/>
    <w:rsid w:val="00BC7B66"/>
    <w:rsid w:val="00BD01B7"/>
    <w:rsid w:val="00BD0295"/>
    <w:rsid w:val="00BD03F2"/>
    <w:rsid w:val="00BD09EE"/>
    <w:rsid w:val="00BD0CDA"/>
    <w:rsid w:val="00BD120F"/>
    <w:rsid w:val="00BD1ACC"/>
    <w:rsid w:val="00BD1BF0"/>
    <w:rsid w:val="00BD1F59"/>
    <w:rsid w:val="00BD1F73"/>
    <w:rsid w:val="00BD2033"/>
    <w:rsid w:val="00BD22B0"/>
    <w:rsid w:val="00BD2513"/>
    <w:rsid w:val="00BD2C20"/>
    <w:rsid w:val="00BD321D"/>
    <w:rsid w:val="00BD3472"/>
    <w:rsid w:val="00BD3529"/>
    <w:rsid w:val="00BD3765"/>
    <w:rsid w:val="00BD3DCE"/>
    <w:rsid w:val="00BD40E4"/>
    <w:rsid w:val="00BD5605"/>
    <w:rsid w:val="00BD561F"/>
    <w:rsid w:val="00BD5DB2"/>
    <w:rsid w:val="00BD5EAB"/>
    <w:rsid w:val="00BD6245"/>
    <w:rsid w:val="00BD64A2"/>
    <w:rsid w:val="00BD65A9"/>
    <w:rsid w:val="00BD696D"/>
    <w:rsid w:val="00BD697D"/>
    <w:rsid w:val="00BD6B0C"/>
    <w:rsid w:val="00BD733B"/>
    <w:rsid w:val="00BD7341"/>
    <w:rsid w:val="00BD7342"/>
    <w:rsid w:val="00BD7D4B"/>
    <w:rsid w:val="00BE039B"/>
    <w:rsid w:val="00BE03BD"/>
    <w:rsid w:val="00BE049B"/>
    <w:rsid w:val="00BE1191"/>
    <w:rsid w:val="00BE1426"/>
    <w:rsid w:val="00BE14F0"/>
    <w:rsid w:val="00BE1D6B"/>
    <w:rsid w:val="00BE210F"/>
    <w:rsid w:val="00BE2251"/>
    <w:rsid w:val="00BE2893"/>
    <w:rsid w:val="00BE2A73"/>
    <w:rsid w:val="00BE35BE"/>
    <w:rsid w:val="00BE3A0C"/>
    <w:rsid w:val="00BE3CAF"/>
    <w:rsid w:val="00BE4715"/>
    <w:rsid w:val="00BE494B"/>
    <w:rsid w:val="00BE4DE0"/>
    <w:rsid w:val="00BE52FC"/>
    <w:rsid w:val="00BE533E"/>
    <w:rsid w:val="00BE540D"/>
    <w:rsid w:val="00BE645C"/>
    <w:rsid w:val="00BE685F"/>
    <w:rsid w:val="00BE6EC8"/>
    <w:rsid w:val="00BE7C40"/>
    <w:rsid w:val="00BF007A"/>
    <w:rsid w:val="00BF0FF4"/>
    <w:rsid w:val="00BF1076"/>
    <w:rsid w:val="00BF13A8"/>
    <w:rsid w:val="00BF13B6"/>
    <w:rsid w:val="00BF18BD"/>
    <w:rsid w:val="00BF1964"/>
    <w:rsid w:val="00BF1A4A"/>
    <w:rsid w:val="00BF1BAC"/>
    <w:rsid w:val="00BF231B"/>
    <w:rsid w:val="00BF2892"/>
    <w:rsid w:val="00BF2A82"/>
    <w:rsid w:val="00BF364F"/>
    <w:rsid w:val="00BF4071"/>
    <w:rsid w:val="00BF4225"/>
    <w:rsid w:val="00BF452B"/>
    <w:rsid w:val="00BF4650"/>
    <w:rsid w:val="00BF4672"/>
    <w:rsid w:val="00BF4AC0"/>
    <w:rsid w:val="00BF4D0B"/>
    <w:rsid w:val="00BF5693"/>
    <w:rsid w:val="00BF5722"/>
    <w:rsid w:val="00BF5C55"/>
    <w:rsid w:val="00BF6D05"/>
    <w:rsid w:val="00BF6FF8"/>
    <w:rsid w:val="00BF7294"/>
    <w:rsid w:val="00BF7A86"/>
    <w:rsid w:val="00BF7C09"/>
    <w:rsid w:val="00BF7E66"/>
    <w:rsid w:val="00C00393"/>
    <w:rsid w:val="00C003BC"/>
    <w:rsid w:val="00C00B59"/>
    <w:rsid w:val="00C00FAF"/>
    <w:rsid w:val="00C015CA"/>
    <w:rsid w:val="00C017CB"/>
    <w:rsid w:val="00C01CC1"/>
    <w:rsid w:val="00C0294B"/>
    <w:rsid w:val="00C0300A"/>
    <w:rsid w:val="00C032C2"/>
    <w:rsid w:val="00C0355C"/>
    <w:rsid w:val="00C03763"/>
    <w:rsid w:val="00C03901"/>
    <w:rsid w:val="00C03B6C"/>
    <w:rsid w:val="00C042B7"/>
    <w:rsid w:val="00C043F3"/>
    <w:rsid w:val="00C0467C"/>
    <w:rsid w:val="00C050EE"/>
    <w:rsid w:val="00C05220"/>
    <w:rsid w:val="00C05558"/>
    <w:rsid w:val="00C064C2"/>
    <w:rsid w:val="00C06661"/>
    <w:rsid w:val="00C066EB"/>
    <w:rsid w:val="00C070B1"/>
    <w:rsid w:val="00C07110"/>
    <w:rsid w:val="00C0711C"/>
    <w:rsid w:val="00C100A7"/>
    <w:rsid w:val="00C10625"/>
    <w:rsid w:val="00C11816"/>
    <w:rsid w:val="00C11A10"/>
    <w:rsid w:val="00C11AF4"/>
    <w:rsid w:val="00C120F2"/>
    <w:rsid w:val="00C12425"/>
    <w:rsid w:val="00C126AA"/>
    <w:rsid w:val="00C12D13"/>
    <w:rsid w:val="00C1303B"/>
    <w:rsid w:val="00C1336B"/>
    <w:rsid w:val="00C13473"/>
    <w:rsid w:val="00C1369F"/>
    <w:rsid w:val="00C13757"/>
    <w:rsid w:val="00C1383D"/>
    <w:rsid w:val="00C143FF"/>
    <w:rsid w:val="00C151B2"/>
    <w:rsid w:val="00C15AB9"/>
    <w:rsid w:val="00C15E37"/>
    <w:rsid w:val="00C162CC"/>
    <w:rsid w:val="00C1657C"/>
    <w:rsid w:val="00C166DB"/>
    <w:rsid w:val="00C16999"/>
    <w:rsid w:val="00C16B3B"/>
    <w:rsid w:val="00C16F85"/>
    <w:rsid w:val="00C17114"/>
    <w:rsid w:val="00C171FD"/>
    <w:rsid w:val="00C1745A"/>
    <w:rsid w:val="00C17730"/>
    <w:rsid w:val="00C179C4"/>
    <w:rsid w:val="00C201AB"/>
    <w:rsid w:val="00C2078C"/>
    <w:rsid w:val="00C20AF8"/>
    <w:rsid w:val="00C21B23"/>
    <w:rsid w:val="00C21DCF"/>
    <w:rsid w:val="00C22123"/>
    <w:rsid w:val="00C223AD"/>
    <w:rsid w:val="00C22D55"/>
    <w:rsid w:val="00C23B50"/>
    <w:rsid w:val="00C24813"/>
    <w:rsid w:val="00C24877"/>
    <w:rsid w:val="00C24FCC"/>
    <w:rsid w:val="00C2526B"/>
    <w:rsid w:val="00C253B6"/>
    <w:rsid w:val="00C25C78"/>
    <w:rsid w:val="00C26307"/>
    <w:rsid w:val="00C26901"/>
    <w:rsid w:val="00C27BE8"/>
    <w:rsid w:val="00C27F15"/>
    <w:rsid w:val="00C30BF8"/>
    <w:rsid w:val="00C30E8B"/>
    <w:rsid w:val="00C311C3"/>
    <w:rsid w:val="00C312E1"/>
    <w:rsid w:val="00C31442"/>
    <w:rsid w:val="00C31744"/>
    <w:rsid w:val="00C31D67"/>
    <w:rsid w:val="00C3214F"/>
    <w:rsid w:val="00C323B4"/>
    <w:rsid w:val="00C34021"/>
    <w:rsid w:val="00C34277"/>
    <w:rsid w:val="00C343BD"/>
    <w:rsid w:val="00C34D00"/>
    <w:rsid w:val="00C34FA3"/>
    <w:rsid w:val="00C35787"/>
    <w:rsid w:val="00C35B6C"/>
    <w:rsid w:val="00C35CA7"/>
    <w:rsid w:val="00C362D1"/>
    <w:rsid w:val="00C369AE"/>
    <w:rsid w:val="00C4035E"/>
    <w:rsid w:val="00C4050F"/>
    <w:rsid w:val="00C40582"/>
    <w:rsid w:val="00C40822"/>
    <w:rsid w:val="00C40992"/>
    <w:rsid w:val="00C4107D"/>
    <w:rsid w:val="00C415ED"/>
    <w:rsid w:val="00C41837"/>
    <w:rsid w:val="00C420FE"/>
    <w:rsid w:val="00C4316A"/>
    <w:rsid w:val="00C431F9"/>
    <w:rsid w:val="00C43522"/>
    <w:rsid w:val="00C43808"/>
    <w:rsid w:val="00C43E2B"/>
    <w:rsid w:val="00C44645"/>
    <w:rsid w:val="00C44AC0"/>
    <w:rsid w:val="00C44E0B"/>
    <w:rsid w:val="00C45230"/>
    <w:rsid w:val="00C45303"/>
    <w:rsid w:val="00C45318"/>
    <w:rsid w:val="00C45806"/>
    <w:rsid w:val="00C45CE6"/>
    <w:rsid w:val="00C45DD5"/>
    <w:rsid w:val="00C46591"/>
    <w:rsid w:val="00C47252"/>
    <w:rsid w:val="00C4753C"/>
    <w:rsid w:val="00C47B77"/>
    <w:rsid w:val="00C50473"/>
    <w:rsid w:val="00C50779"/>
    <w:rsid w:val="00C5077A"/>
    <w:rsid w:val="00C51828"/>
    <w:rsid w:val="00C518B4"/>
    <w:rsid w:val="00C51A77"/>
    <w:rsid w:val="00C52213"/>
    <w:rsid w:val="00C524A9"/>
    <w:rsid w:val="00C52F64"/>
    <w:rsid w:val="00C53059"/>
    <w:rsid w:val="00C536C4"/>
    <w:rsid w:val="00C537F9"/>
    <w:rsid w:val="00C53D4E"/>
    <w:rsid w:val="00C53D62"/>
    <w:rsid w:val="00C54083"/>
    <w:rsid w:val="00C5470F"/>
    <w:rsid w:val="00C54992"/>
    <w:rsid w:val="00C5499F"/>
    <w:rsid w:val="00C54D99"/>
    <w:rsid w:val="00C552B0"/>
    <w:rsid w:val="00C555DD"/>
    <w:rsid w:val="00C5583B"/>
    <w:rsid w:val="00C55909"/>
    <w:rsid w:val="00C55A9E"/>
    <w:rsid w:val="00C55CCA"/>
    <w:rsid w:val="00C566AB"/>
    <w:rsid w:val="00C575E8"/>
    <w:rsid w:val="00C5763E"/>
    <w:rsid w:val="00C57769"/>
    <w:rsid w:val="00C57A12"/>
    <w:rsid w:val="00C60221"/>
    <w:rsid w:val="00C60DB4"/>
    <w:rsid w:val="00C60ED3"/>
    <w:rsid w:val="00C611F2"/>
    <w:rsid w:val="00C61523"/>
    <w:rsid w:val="00C615C4"/>
    <w:rsid w:val="00C61623"/>
    <w:rsid w:val="00C61788"/>
    <w:rsid w:val="00C61C21"/>
    <w:rsid w:val="00C62599"/>
    <w:rsid w:val="00C62686"/>
    <w:rsid w:val="00C627B5"/>
    <w:rsid w:val="00C6289C"/>
    <w:rsid w:val="00C62B88"/>
    <w:rsid w:val="00C62DE1"/>
    <w:rsid w:val="00C62E2F"/>
    <w:rsid w:val="00C63BF4"/>
    <w:rsid w:val="00C63EFB"/>
    <w:rsid w:val="00C648EB"/>
    <w:rsid w:val="00C64ACB"/>
    <w:rsid w:val="00C64B2F"/>
    <w:rsid w:val="00C64B99"/>
    <w:rsid w:val="00C64C02"/>
    <w:rsid w:val="00C64FB3"/>
    <w:rsid w:val="00C655B0"/>
    <w:rsid w:val="00C65CEA"/>
    <w:rsid w:val="00C662D2"/>
    <w:rsid w:val="00C666EA"/>
    <w:rsid w:val="00C674E9"/>
    <w:rsid w:val="00C675F1"/>
    <w:rsid w:val="00C676D5"/>
    <w:rsid w:val="00C70107"/>
    <w:rsid w:val="00C705B9"/>
    <w:rsid w:val="00C707E1"/>
    <w:rsid w:val="00C70C6C"/>
    <w:rsid w:val="00C7112E"/>
    <w:rsid w:val="00C71711"/>
    <w:rsid w:val="00C7183F"/>
    <w:rsid w:val="00C71A20"/>
    <w:rsid w:val="00C71CE1"/>
    <w:rsid w:val="00C72402"/>
    <w:rsid w:val="00C734F7"/>
    <w:rsid w:val="00C735E4"/>
    <w:rsid w:val="00C73633"/>
    <w:rsid w:val="00C73BF4"/>
    <w:rsid w:val="00C73EB9"/>
    <w:rsid w:val="00C742FE"/>
    <w:rsid w:val="00C749D7"/>
    <w:rsid w:val="00C749E7"/>
    <w:rsid w:val="00C751DF"/>
    <w:rsid w:val="00C75330"/>
    <w:rsid w:val="00C75639"/>
    <w:rsid w:val="00C75B83"/>
    <w:rsid w:val="00C760B0"/>
    <w:rsid w:val="00C76223"/>
    <w:rsid w:val="00C76D0C"/>
    <w:rsid w:val="00C775D0"/>
    <w:rsid w:val="00C77CF1"/>
    <w:rsid w:val="00C80277"/>
    <w:rsid w:val="00C806C3"/>
    <w:rsid w:val="00C80E93"/>
    <w:rsid w:val="00C8113F"/>
    <w:rsid w:val="00C81F8F"/>
    <w:rsid w:val="00C8235A"/>
    <w:rsid w:val="00C824E4"/>
    <w:rsid w:val="00C82F47"/>
    <w:rsid w:val="00C831E7"/>
    <w:rsid w:val="00C834DA"/>
    <w:rsid w:val="00C8363A"/>
    <w:rsid w:val="00C838D6"/>
    <w:rsid w:val="00C83BA2"/>
    <w:rsid w:val="00C83EF4"/>
    <w:rsid w:val="00C8459F"/>
    <w:rsid w:val="00C84900"/>
    <w:rsid w:val="00C8516E"/>
    <w:rsid w:val="00C8532A"/>
    <w:rsid w:val="00C854EF"/>
    <w:rsid w:val="00C856C6"/>
    <w:rsid w:val="00C857AB"/>
    <w:rsid w:val="00C86055"/>
    <w:rsid w:val="00C86AB3"/>
    <w:rsid w:val="00C86B61"/>
    <w:rsid w:val="00C86BB9"/>
    <w:rsid w:val="00C87254"/>
    <w:rsid w:val="00C87581"/>
    <w:rsid w:val="00C87C71"/>
    <w:rsid w:val="00C90357"/>
    <w:rsid w:val="00C9053B"/>
    <w:rsid w:val="00C90A48"/>
    <w:rsid w:val="00C91202"/>
    <w:rsid w:val="00C914D2"/>
    <w:rsid w:val="00C91CC1"/>
    <w:rsid w:val="00C924BF"/>
    <w:rsid w:val="00C925E8"/>
    <w:rsid w:val="00C92893"/>
    <w:rsid w:val="00C929B5"/>
    <w:rsid w:val="00C92D6A"/>
    <w:rsid w:val="00C93231"/>
    <w:rsid w:val="00C934E7"/>
    <w:rsid w:val="00C937E8"/>
    <w:rsid w:val="00C93EAC"/>
    <w:rsid w:val="00C9503C"/>
    <w:rsid w:val="00C95417"/>
    <w:rsid w:val="00C95D9C"/>
    <w:rsid w:val="00C95F63"/>
    <w:rsid w:val="00C9633A"/>
    <w:rsid w:val="00C963EA"/>
    <w:rsid w:val="00C9640B"/>
    <w:rsid w:val="00C96546"/>
    <w:rsid w:val="00C97153"/>
    <w:rsid w:val="00C9740E"/>
    <w:rsid w:val="00CA0072"/>
    <w:rsid w:val="00CA026F"/>
    <w:rsid w:val="00CA0377"/>
    <w:rsid w:val="00CA1243"/>
    <w:rsid w:val="00CA2141"/>
    <w:rsid w:val="00CA2462"/>
    <w:rsid w:val="00CA253C"/>
    <w:rsid w:val="00CA2CAA"/>
    <w:rsid w:val="00CA4395"/>
    <w:rsid w:val="00CA48C9"/>
    <w:rsid w:val="00CA509E"/>
    <w:rsid w:val="00CA5B1D"/>
    <w:rsid w:val="00CA5BA8"/>
    <w:rsid w:val="00CA6166"/>
    <w:rsid w:val="00CA6D81"/>
    <w:rsid w:val="00CA7AEB"/>
    <w:rsid w:val="00CB053F"/>
    <w:rsid w:val="00CB0796"/>
    <w:rsid w:val="00CB095C"/>
    <w:rsid w:val="00CB1057"/>
    <w:rsid w:val="00CB12B3"/>
    <w:rsid w:val="00CB18E8"/>
    <w:rsid w:val="00CB1AA8"/>
    <w:rsid w:val="00CB1B7B"/>
    <w:rsid w:val="00CB1D54"/>
    <w:rsid w:val="00CB2B36"/>
    <w:rsid w:val="00CB3206"/>
    <w:rsid w:val="00CB3736"/>
    <w:rsid w:val="00CB481F"/>
    <w:rsid w:val="00CB4E26"/>
    <w:rsid w:val="00CB537D"/>
    <w:rsid w:val="00CB5529"/>
    <w:rsid w:val="00CB5721"/>
    <w:rsid w:val="00CB5861"/>
    <w:rsid w:val="00CB63D1"/>
    <w:rsid w:val="00CB6498"/>
    <w:rsid w:val="00CB6DF9"/>
    <w:rsid w:val="00CB7433"/>
    <w:rsid w:val="00CB7444"/>
    <w:rsid w:val="00CB786D"/>
    <w:rsid w:val="00CB7BCA"/>
    <w:rsid w:val="00CB7E13"/>
    <w:rsid w:val="00CC01B4"/>
    <w:rsid w:val="00CC03B9"/>
    <w:rsid w:val="00CC0596"/>
    <w:rsid w:val="00CC0672"/>
    <w:rsid w:val="00CC12B9"/>
    <w:rsid w:val="00CC14A2"/>
    <w:rsid w:val="00CC16D4"/>
    <w:rsid w:val="00CC17E9"/>
    <w:rsid w:val="00CC231E"/>
    <w:rsid w:val="00CC26A8"/>
    <w:rsid w:val="00CC26F8"/>
    <w:rsid w:val="00CC2FF6"/>
    <w:rsid w:val="00CC3D2E"/>
    <w:rsid w:val="00CC3F85"/>
    <w:rsid w:val="00CC48B8"/>
    <w:rsid w:val="00CC4EAC"/>
    <w:rsid w:val="00CC51A1"/>
    <w:rsid w:val="00CC5559"/>
    <w:rsid w:val="00CC5930"/>
    <w:rsid w:val="00CC6972"/>
    <w:rsid w:val="00CC6C03"/>
    <w:rsid w:val="00CC6E4A"/>
    <w:rsid w:val="00CC72DC"/>
    <w:rsid w:val="00CC7B29"/>
    <w:rsid w:val="00CC7D0F"/>
    <w:rsid w:val="00CD029C"/>
    <w:rsid w:val="00CD02E5"/>
    <w:rsid w:val="00CD07BB"/>
    <w:rsid w:val="00CD0E8D"/>
    <w:rsid w:val="00CD17DF"/>
    <w:rsid w:val="00CD1F5E"/>
    <w:rsid w:val="00CD21D5"/>
    <w:rsid w:val="00CD262A"/>
    <w:rsid w:val="00CD289B"/>
    <w:rsid w:val="00CD2933"/>
    <w:rsid w:val="00CD330D"/>
    <w:rsid w:val="00CD3F39"/>
    <w:rsid w:val="00CD4058"/>
    <w:rsid w:val="00CD4CFA"/>
    <w:rsid w:val="00CD5065"/>
    <w:rsid w:val="00CD5420"/>
    <w:rsid w:val="00CD5874"/>
    <w:rsid w:val="00CD592A"/>
    <w:rsid w:val="00CD5DA2"/>
    <w:rsid w:val="00CD616E"/>
    <w:rsid w:val="00CD62AC"/>
    <w:rsid w:val="00CD698F"/>
    <w:rsid w:val="00CD6C06"/>
    <w:rsid w:val="00CE0200"/>
    <w:rsid w:val="00CE03C5"/>
    <w:rsid w:val="00CE0414"/>
    <w:rsid w:val="00CE0467"/>
    <w:rsid w:val="00CE0837"/>
    <w:rsid w:val="00CE0D51"/>
    <w:rsid w:val="00CE169A"/>
    <w:rsid w:val="00CE1D80"/>
    <w:rsid w:val="00CE2568"/>
    <w:rsid w:val="00CE25F5"/>
    <w:rsid w:val="00CE2630"/>
    <w:rsid w:val="00CE2B07"/>
    <w:rsid w:val="00CE30A3"/>
    <w:rsid w:val="00CE31D7"/>
    <w:rsid w:val="00CE3748"/>
    <w:rsid w:val="00CE37C3"/>
    <w:rsid w:val="00CE3DF2"/>
    <w:rsid w:val="00CE4729"/>
    <w:rsid w:val="00CE4DE9"/>
    <w:rsid w:val="00CE57D2"/>
    <w:rsid w:val="00CE5A22"/>
    <w:rsid w:val="00CE600F"/>
    <w:rsid w:val="00CE614F"/>
    <w:rsid w:val="00CE69A6"/>
    <w:rsid w:val="00CE6D97"/>
    <w:rsid w:val="00CE6E1C"/>
    <w:rsid w:val="00CE7271"/>
    <w:rsid w:val="00CE7C75"/>
    <w:rsid w:val="00CE7C7E"/>
    <w:rsid w:val="00CF0B08"/>
    <w:rsid w:val="00CF115D"/>
    <w:rsid w:val="00CF2257"/>
    <w:rsid w:val="00CF24B5"/>
    <w:rsid w:val="00CF2CC2"/>
    <w:rsid w:val="00CF2CFF"/>
    <w:rsid w:val="00CF30DA"/>
    <w:rsid w:val="00CF32EF"/>
    <w:rsid w:val="00CF334D"/>
    <w:rsid w:val="00CF39D2"/>
    <w:rsid w:val="00CF3E79"/>
    <w:rsid w:val="00CF3F11"/>
    <w:rsid w:val="00CF4120"/>
    <w:rsid w:val="00CF460E"/>
    <w:rsid w:val="00CF482C"/>
    <w:rsid w:val="00CF4B4F"/>
    <w:rsid w:val="00CF540B"/>
    <w:rsid w:val="00CF5A76"/>
    <w:rsid w:val="00CF5DCE"/>
    <w:rsid w:val="00CF5F43"/>
    <w:rsid w:val="00CF63DC"/>
    <w:rsid w:val="00CF7212"/>
    <w:rsid w:val="00CF77ED"/>
    <w:rsid w:val="00CF7873"/>
    <w:rsid w:val="00CF7AB8"/>
    <w:rsid w:val="00D00116"/>
    <w:rsid w:val="00D00294"/>
    <w:rsid w:val="00D003A3"/>
    <w:rsid w:val="00D00865"/>
    <w:rsid w:val="00D00B65"/>
    <w:rsid w:val="00D00CAD"/>
    <w:rsid w:val="00D0194D"/>
    <w:rsid w:val="00D019EF"/>
    <w:rsid w:val="00D01BCD"/>
    <w:rsid w:val="00D01CFA"/>
    <w:rsid w:val="00D02533"/>
    <w:rsid w:val="00D02C91"/>
    <w:rsid w:val="00D033AB"/>
    <w:rsid w:val="00D04021"/>
    <w:rsid w:val="00D04569"/>
    <w:rsid w:val="00D04CF2"/>
    <w:rsid w:val="00D05774"/>
    <w:rsid w:val="00D06AA4"/>
    <w:rsid w:val="00D06EEB"/>
    <w:rsid w:val="00D071D0"/>
    <w:rsid w:val="00D07482"/>
    <w:rsid w:val="00D078E1"/>
    <w:rsid w:val="00D10337"/>
    <w:rsid w:val="00D106FC"/>
    <w:rsid w:val="00D111E7"/>
    <w:rsid w:val="00D1148A"/>
    <w:rsid w:val="00D114FB"/>
    <w:rsid w:val="00D11628"/>
    <w:rsid w:val="00D117CF"/>
    <w:rsid w:val="00D122D2"/>
    <w:rsid w:val="00D123A6"/>
    <w:rsid w:val="00D136DE"/>
    <w:rsid w:val="00D13F08"/>
    <w:rsid w:val="00D143CD"/>
    <w:rsid w:val="00D14531"/>
    <w:rsid w:val="00D14567"/>
    <w:rsid w:val="00D146E1"/>
    <w:rsid w:val="00D15283"/>
    <w:rsid w:val="00D15685"/>
    <w:rsid w:val="00D1664B"/>
    <w:rsid w:val="00D16B77"/>
    <w:rsid w:val="00D17180"/>
    <w:rsid w:val="00D17318"/>
    <w:rsid w:val="00D17A56"/>
    <w:rsid w:val="00D17B37"/>
    <w:rsid w:val="00D17C50"/>
    <w:rsid w:val="00D17FD7"/>
    <w:rsid w:val="00D203EA"/>
    <w:rsid w:val="00D20B78"/>
    <w:rsid w:val="00D20E53"/>
    <w:rsid w:val="00D2103C"/>
    <w:rsid w:val="00D21C82"/>
    <w:rsid w:val="00D21E01"/>
    <w:rsid w:val="00D2272F"/>
    <w:rsid w:val="00D22AC8"/>
    <w:rsid w:val="00D22BC6"/>
    <w:rsid w:val="00D22D45"/>
    <w:rsid w:val="00D2340D"/>
    <w:rsid w:val="00D23862"/>
    <w:rsid w:val="00D2387C"/>
    <w:rsid w:val="00D23A56"/>
    <w:rsid w:val="00D23A9F"/>
    <w:rsid w:val="00D23DA4"/>
    <w:rsid w:val="00D24354"/>
    <w:rsid w:val="00D2436E"/>
    <w:rsid w:val="00D24CC1"/>
    <w:rsid w:val="00D24F87"/>
    <w:rsid w:val="00D251C6"/>
    <w:rsid w:val="00D259A7"/>
    <w:rsid w:val="00D25BBE"/>
    <w:rsid w:val="00D25D4B"/>
    <w:rsid w:val="00D265C4"/>
    <w:rsid w:val="00D26AAE"/>
    <w:rsid w:val="00D26B8D"/>
    <w:rsid w:val="00D27326"/>
    <w:rsid w:val="00D27DD4"/>
    <w:rsid w:val="00D3019C"/>
    <w:rsid w:val="00D3073D"/>
    <w:rsid w:val="00D30926"/>
    <w:rsid w:val="00D309E1"/>
    <w:rsid w:val="00D30E90"/>
    <w:rsid w:val="00D30EEB"/>
    <w:rsid w:val="00D310E4"/>
    <w:rsid w:val="00D3111D"/>
    <w:rsid w:val="00D31B66"/>
    <w:rsid w:val="00D31EA9"/>
    <w:rsid w:val="00D32060"/>
    <w:rsid w:val="00D3251A"/>
    <w:rsid w:val="00D32682"/>
    <w:rsid w:val="00D32FA9"/>
    <w:rsid w:val="00D33A4A"/>
    <w:rsid w:val="00D33B2C"/>
    <w:rsid w:val="00D33B4F"/>
    <w:rsid w:val="00D33B61"/>
    <w:rsid w:val="00D33D49"/>
    <w:rsid w:val="00D33D92"/>
    <w:rsid w:val="00D3569A"/>
    <w:rsid w:val="00D35817"/>
    <w:rsid w:val="00D359EF"/>
    <w:rsid w:val="00D366AC"/>
    <w:rsid w:val="00D367DB"/>
    <w:rsid w:val="00D3682C"/>
    <w:rsid w:val="00D36A5D"/>
    <w:rsid w:val="00D372D6"/>
    <w:rsid w:val="00D37643"/>
    <w:rsid w:val="00D40204"/>
    <w:rsid w:val="00D409E9"/>
    <w:rsid w:val="00D40CE3"/>
    <w:rsid w:val="00D41055"/>
    <w:rsid w:val="00D41060"/>
    <w:rsid w:val="00D41CBC"/>
    <w:rsid w:val="00D41E99"/>
    <w:rsid w:val="00D422DB"/>
    <w:rsid w:val="00D42475"/>
    <w:rsid w:val="00D42880"/>
    <w:rsid w:val="00D429B5"/>
    <w:rsid w:val="00D42FD5"/>
    <w:rsid w:val="00D43117"/>
    <w:rsid w:val="00D43634"/>
    <w:rsid w:val="00D4367A"/>
    <w:rsid w:val="00D4395F"/>
    <w:rsid w:val="00D43963"/>
    <w:rsid w:val="00D44094"/>
    <w:rsid w:val="00D440B8"/>
    <w:rsid w:val="00D4459F"/>
    <w:rsid w:val="00D4470F"/>
    <w:rsid w:val="00D44BBD"/>
    <w:rsid w:val="00D44EB7"/>
    <w:rsid w:val="00D44FD9"/>
    <w:rsid w:val="00D455AD"/>
    <w:rsid w:val="00D45834"/>
    <w:rsid w:val="00D45846"/>
    <w:rsid w:val="00D45A89"/>
    <w:rsid w:val="00D45B8F"/>
    <w:rsid w:val="00D462B3"/>
    <w:rsid w:val="00D466FB"/>
    <w:rsid w:val="00D467FE"/>
    <w:rsid w:val="00D46A90"/>
    <w:rsid w:val="00D4758A"/>
    <w:rsid w:val="00D47821"/>
    <w:rsid w:val="00D50237"/>
    <w:rsid w:val="00D50618"/>
    <w:rsid w:val="00D50AFA"/>
    <w:rsid w:val="00D50FC9"/>
    <w:rsid w:val="00D515CD"/>
    <w:rsid w:val="00D51C78"/>
    <w:rsid w:val="00D524DC"/>
    <w:rsid w:val="00D52721"/>
    <w:rsid w:val="00D52806"/>
    <w:rsid w:val="00D52890"/>
    <w:rsid w:val="00D52BA8"/>
    <w:rsid w:val="00D535BA"/>
    <w:rsid w:val="00D5394A"/>
    <w:rsid w:val="00D53AAD"/>
    <w:rsid w:val="00D53C6A"/>
    <w:rsid w:val="00D544BC"/>
    <w:rsid w:val="00D54BA9"/>
    <w:rsid w:val="00D55C76"/>
    <w:rsid w:val="00D55CDB"/>
    <w:rsid w:val="00D55E78"/>
    <w:rsid w:val="00D561E4"/>
    <w:rsid w:val="00D56A98"/>
    <w:rsid w:val="00D56E44"/>
    <w:rsid w:val="00D56E6F"/>
    <w:rsid w:val="00D5733F"/>
    <w:rsid w:val="00D6040D"/>
    <w:rsid w:val="00D60F19"/>
    <w:rsid w:val="00D61A86"/>
    <w:rsid w:val="00D61F59"/>
    <w:rsid w:val="00D6225E"/>
    <w:rsid w:val="00D62470"/>
    <w:rsid w:val="00D624A4"/>
    <w:rsid w:val="00D62592"/>
    <w:rsid w:val="00D62E9E"/>
    <w:rsid w:val="00D62F49"/>
    <w:rsid w:val="00D631B5"/>
    <w:rsid w:val="00D64797"/>
    <w:rsid w:val="00D649F5"/>
    <w:rsid w:val="00D64D58"/>
    <w:rsid w:val="00D64D6A"/>
    <w:rsid w:val="00D64F0C"/>
    <w:rsid w:val="00D6567F"/>
    <w:rsid w:val="00D6622A"/>
    <w:rsid w:val="00D66560"/>
    <w:rsid w:val="00D66BD3"/>
    <w:rsid w:val="00D66D2A"/>
    <w:rsid w:val="00D66D92"/>
    <w:rsid w:val="00D66DE3"/>
    <w:rsid w:val="00D673BE"/>
    <w:rsid w:val="00D67413"/>
    <w:rsid w:val="00D6789A"/>
    <w:rsid w:val="00D67AD3"/>
    <w:rsid w:val="00D70416"/>
    <w:rsid w:val="00D70616"/>
    <w:rsid w:val="00D70D76"/>
    <w:rsid w:val="00D70E71"/>
    <w:rsid w:val="00D72156"/>
    <w:rsid w:val="00D722CF"/>
    <w:rsid w:val="00D72AC1"/>
    <w:rsid w:val="00D737E7"/>
    <w:rsid w:val="00D73E4B"/>
    <w:rsid w:val="00D7405B"/>
    <w:rsid w:val="00D7447E"/>
    <w:rsid w:val="00D74F89"/>
    <w:rsid w:val="00D75869"/>
    <w:rsid w:val="00D758BB"/>
    <w:rsid w:val="00D75AC1"/>
    <w:rsid w:val="00D76252"/>
    <w:rsid w:val="00D762E7"/>
    <w:rsid w:val="00D763EF"/>
    <w:rsid w:val="00D7689A"/>
    <w:rsid w:val="00D773F0"/>
    <w:rsid w:val="00D7748F"/>
    <w:rsid w:val="00D778DA"/>
    <w:rsid w:val="00D77B4E"/>
    <w:rsid w:val="00D80306"/>
    <w:rsid w:val="00D8076C"/>
    <w:rsid w:val="00D8078A"/>
    <w:rsid w:val="00D80990"/>
    <w:rsid w:val="00D80A0C"/>
    <w:rsid w:val="00D80B74"/>
    <w:rsid w:val="00D80C1D"/>
    <w:rsid w:val="00D8126D"/>
    <w:rsid w:val="00D81A33"/>
    <w:rsid w:val="00D81F3D"/>
    <w:rsid w:val="00D822DE"/>
    <w:rsid w:val="00D8273B"/>
    <w:rsid w:val="00D827C9"/>
    <w:rsid w:val="00D8308A"/>
    <w:rsid w:val="00D830C0"/>
    <w:rsid w:val="00D83601"/>
    <w:rsid w:val="00D838B8"/>
    <w:rsid w:val="00D838CD"/>
    <w:rsid w:val="00D83B3F"/>
    <w:rsid w:val="00D83B60"/>
    <w:rsid w:val="00D83CDB"/>
    <w:rsid w:val="00D840AD"/>
    <w:rsid w:val="00D84656"/>
    <w:rsid w:val="00D84B3E"/>
    <w:rsid w:val="00D84E6F"/>
    <w:rsid w:val="00D853A1"/>
    <w:rsid w:val="00D8555F"/>
    <w:rsid w:val="00D856D5"/>
    <w:rsid w:val="00D85A10"/>
    <w:rsid w:val="00D860BA"/>
    <w:rsid w:val="00D861F0"/>
    <w:rsid w:val="00D87782"/>
    <w:rsid w:val="00D905A5"/>
    <w:rsid w:val="00D90AFA"/>
    <w:rsid w:val="00D90F95"/>
    <w:rsid w:val="00D90FE1"/>
    <w:rsid w:val="00D91297"/>
    <w:rsid w:val="00D915DD"/>
    <w:rsid w:val="00D91D20"/>
    <w:rsid w:val="00D91F14"/>
    <w:rsid w:val="00D9210F"/>
    <w:rsid w:val="00D92FB4"/>
    <w:rsid w:val="00D93351"/>
    <w:rsid w:val="00D93AA0"/>
    <w:rsid w:val="00D93AEB"/>
    <w:rsid w:val="00D93B5D"/>
    <w:rsid w:val="00D93CE3"/>
    <w:rsid w:val="00D93F54"/>
    <w:rsid w:val="00D942D1"/>
    <w:rsid w:val="00D9436C"/>
    <w:rsid w:val="00D94C99"/>
    <w:rsid w:val="00D95538"/>
    <w:rsid w:val="00D95E02"/>
    <w:rsid w:val="00D96C5A"/>
    <w:rsid w:val="00D96C6F"/>
    <w:rsid w:val="00D96DFE"/>
    <w:rsid w:val="00D96EC0"/>
    <w:rsid w:val="00D96F28"/>
    <w:rsid w:val="00D9727B"/>
    <w:rsid w:val="00D9763E"/>
    <w:rsid w:val="00D9766C"/>
    <w:rsid w:val="00D97B28"/>
    <w:rsid w:val="00D97DD8"/>
    <w:rsid w:val="00DA04A0"/>
    <w:rsid w:val="00DA05E9"/>
    <w:rsid w:val="00DA067C"/>
    <w:rsid w:val="00DA084B"/>
    <w:rsid w:val="00DA0A05"/>
    <w:rsid w:val="00DA0A73"/>
    <w:rsid w:val="00DA13D0"/>
    <w:rsid w:val="00DA15D3"/>
    <w:rsid w:val="00DA188C"/>
    <w:rsid w:val="00DA1A8A"/>
    <w:rsid w:val="00DA1AE8"/>
    <w:rsid w:val="00DA1F23"/>
    <w:rsid w:val="00DA24BF"/>
    <w:rsid w:val="00DA2A0E"/>
    <w:rsid w:val="00DA2CDD"/>
    <w:rsid w:val="00DA2FBD"/>
    <w:rsid w:val="00DA3059"/>
    <w:rsid w:val="00DA33A9"/>
    <w:rsid w:val="00DA3851"/>
    <w:rsid w:val="00DA3CA3"/>
    <w:rsid w:val="00DA3D68"/>
    <w:rsid w:val="00DA51CD"/>
    <w:rsid w:val="00DA57C1"/>
    <w:rsid w:val="00DA5894"/>
    <w:rsid w:val="00DA5D23"/>
    <w:rsid w:val="00DA6A4B"/>
    <w:rsid w:val="00DA6C90"/>
    <w:rsid w:val="00DA7479"/>
    <w:rsid w:val="00DA7839"/>
    <w:rsid w:val="00DA78DC"/>
    <w:rsid w:val="00DA7C22"/>
    <w:rsid w:val="00DA7FFB"/>
    <w:rsid w:val="00DB047D"/>
    <w:rsid w:val="00DB08D9"/>
    <w:rsid w:val="00DB09A1"/>
    <w:rsid w:val="00DB1558"/>
    <w:rsid w:val="00DB15D6"/>
    <w:rsid w:val="00DB1659"/>
    <w:rsid w:val="00DB175F"/>
    <w:rsid w:val="00DB18E5"/>
    <w:rsid w:val="00DB1C6A"/>
    <w:rsid w:val="00DB2122"/>
    <w:rsid w:val="00DB28F1"/>
    <w:rsid w:val="00DB2969"/>
    <w:rsid w:val="00DB2AA2"/>
    <w:rsid w:val="00DB2C0E"/>
    <w:rsid w:val="00DB2CE9"/>
    <w:rsid w:val="00DB3642"/>
    <w:rsid w:val="00DB387C"/>
    <w:rsid w:val="00DB3BCF"/>
    <w:rsid w:val="00DB44BB"/>
    <w:rsid w:val="00DB4735"/>
    <w:rsid w:val="00DB4CED"/>
    <w:rsid w:val="00DB53A0"/>
    <w:rsid w:val="00DB5A3A"/>
    <w:rsid w:val="00DB5B6E"/>
    <w:rsid w:val="00DB7128"/>
    <w:rsid w:val="00DB7918"/>
    <w:rsid w:val="00DB7AEF"/>
    <w:rsid w:val="00DB7BC8"/>
    <w:rsid w:val="00DB7DFA"/>
    <w:rsid w:val="00DC05D8"/>
    <w:rsid w:val="00DC0DE6"/>
    <w:rsid w:val="00DC0F33"/>
    <w:rsid w:val="00DC1216"/>
    <w:rsid w:val="00DC1851"/>
    <w:rsid w:val="00DC191E"/>
    <w:rsid w:val="00DC19C9"/>
    <w:rsid w:val="00DC2305"/>
    <w:rsid w:val="00DC27D7"/>
    <w:rsid w:val="00DC289B"/>
    <w:rsid w:val="00DC2CA9"/>
    <w:rsid w:val="00DC2CE5"/>
    <w:rsid w:val="00DC2DAD"/>
    <w:rsid w:val="00DC38C0"/>
    <w:rsid w:val="00DC3B58"/>
    <w:rsid w:val="00DC3DF2"/>
    <w:rsid w:val="00DC48CC"/>
    <w:rsid w:val="00DC5334"/>
    <w:rsid w:val="00DC5B06"/>
    <w:rsid w:val="00DC5ED0"/>
    <w:rsid w:val="00DC6283"/>
    <w:rsid w:val="00DC73F9"/>
    <w:rsid w:val="00DC7D5D"/>
    <w:rsid w:val="00DD0904"/>
    <w:rsid w:val="00DD09AC"/>
    <w:rsid w:val="00DD1E75"/>
    <w:rsid w:val="00DD20DF"/>
    <w:rsid w:val="00DD27FF"/>
    <w:rsid w:val="00DD2E37"/>
    <w:rsid w:val="00DD328E"/>
    <w:rsid w:val="00DD3514"/>
    <w:rsid w:val="00DD37BF"/>
    <w:rsid w:val="00DD3C57"/>
    <w:rsid w:val="00DD4406"/>
    <w:rsid w:val="00DD44E8"/>
    <w:rsid w:val="00DD474E"/>
    <w:rsid w:val="00DD481A"/>
    <w:rsid w:val="00DD4F8D"/>
    <w:rsid w:val="00DD5077"/>
    <w:rsid w:val="00DD51C2"/>
    <w:rsid w:val="00DD5CCE"/>
    <w:rsid w:val="00DD703D"/>
    <w:rsid w:val="00DD75B1"/>
    <w:rsid w:val="00DD7627"/>
    <w:rsid w:val="00DD7980"/>
    <w:rsid w:val="00DE0263"/>
    <w:rsid w:val="00DE0690"/>
    <w:rsid w:val="00DE0C2A"/>
    <w:rsid w:val="00DE14D4"/>
    <w:rsid w:val="00DE1664"/>
    <w:rsid w:val="00DE2BCD"/>
    <w:rsid w:val="00DE2EE0"/>
    <w:rsid w:val="00DE3208"/>
    <w:rsid w:val="00DE33A2"/>
    <w:rsid w:val="00DE341F"/>
    <w:rsid w:val="00DE3420"/>
    <w:rsid w:val="00DE3EC3"/>
    <w:rsid w:val="00DE48BE"/>
    <w:rsid w:val="00DE48FC"/>
    <w:rsid w:val="00DE4952"/>
    <w:rsid w:val="00DE4A29"/>
    <w:rsid w:val="00DE4FC9"/>
    <w:rsid w:val="00DE517B"/>
    <w:rsid w:val="00DE58CE"/>
    <w:rsid w:val="00DE5DDA"/>
    <w:rsid w:val="00DE6467"/>
    <w:rsid w:val="00DE6701"/>
    <w:rsid w:val="00DE6830"/>
    <w:rsid w:val="00DE7373"/>
    <w:rsid w:val="00DE73E5"/>
    <w:rsid w:val="00DE777D"/>
    <w:rsid w:val="00DE77CB"/>
    <w:rsid w:val="00DE7810"/>
    <w:rsid w:val="00DF009B"/>
    <w:rsid w:val="00DF025F"/>
    <w:rsid w:val="00DF05F4"/>
    <w:rsid w:val="00DF100C"/>
    <w:rsid w:val="00DF1585"/>
    <w:rsid w:val="00DF1BBF"/>
    <w:rsid w:val="00DF3352"/>
    <w:rsid w:val="00DF36E7"/>
    <w:rsid w:val="00DF392D"/>
    <w:rsid w:val="00DF3C3D"/>
    <w:rsid w:val="00DF3CB2"/>
    <w:rsid w:val="00DF3EC8"/>
    <w:rsid w:val="00DF42C6"/>
    <w:rsid w:val="00DF42FB"/>
    <w:rsid w:val="00DF4581"/>
    <w:rsid w:val="00DF4792"/>
    <w:rsid w:val="00DF4F04"/>
    <w:rsid w:val="00DF4F5C"/>
    <w:rsid w:val="00DF5349"/>
    <w:rsid w:val="00DF5C7A"/>
    <w:rsid w:val="00DF6239"/>
    <w:rsid w:val="00DF6823"/>
    <w:rsid w:val="00DF77FA"/>
    <w:rsid w:val="00DF7D2A"/>
    <w:rsid w:val="00DF7DE1"/>
    <w:rsid w:val="00E003E7"/>
    <w:rsid w:val="00E004F4"/>
    <w:rsid w:val="00E00CDC"/>
    <w:rsid w:val="00E01539"/>
    <w:rsid w:val="00E01810"/>
    <w:rsid w:val="00E019B2"/>
    <w:rsid w:val="00E01ED8"/>
    <w:rsid w:val="00E0253E"/>
    <w:rsid w:val="00E02F1F"/>
    <w:rsid w:val="00E03156"/>
    <w:rsid w:val="00E03329"/>
    <w:rsid w:val="00E037A7"/>
    <w:rsid w:val="00E04004"/>
    <w:rsid w:val="00E0465D"/>
    <w:rsid w:val="00E046FB"/>
    <w:rsid w:val="00E04B8B"/>
    <w:rsid w:val="00E04FA1"/>
    <w:rsid w:val="00E050B3"/>
    <w:rsid w:val="00E055EF"/>
    <w:rsid w:val="00E05D93"/>
    <w:rsid w:val="00E0697F"/>
    <w:rsid w:val="00E06C1D"/>
    <w:rsid w:val="00E07110"/>
    <w:rsid w:val="00E1018B"/>
    <w:rsid w:val="00E10588"/>
    <w:rsid w:val="00E10BA4"/>
    <w:rsid w:val="00E111AA"/>
    <w:rsid w:val="00E11316"/>
    <w:rsid w:val="00E12C22"/>
    <w:rsid w:val="00E12C69"/>
    <w:rsid w:val="00E12F46"/>
    <w:rsid w:val="00E133A6"/>
    <w:rsid w:val="00E136D9"/>
    <w:rsid w:val="00E136DD"/>
    <w:rsid w:val="00E13855"/>
    <w:rsid w:val="00E13A8D"/>
    <w:rsid w:val="00E13C3A"/>
    <w:rsid w:val="00E14090"/>
    <w:rsid w:val="00E146C1"/>
    <w:rsid w:val="00E151F8"/>
    <w:rsid w:val="00E1545F"/>
    <w:rsid w:val="00E15E66"/>
    <w:rsid w:val="00E16064"/>
    <w:rsid w:val="00E166D0"/>
    <w:rsid w:val="00E16BB5"/>
    <w:rsid w:val="00E171F6"/>
    <w:rsid w:val="00E17416"/>
    <w:rsid w:val="00E17479"/>
    <w:rsid w:val="00E175E9"/>
    <w:rsid w:val="00E17A89"/>
    <w:rsid w:val="00E17AF8"/>
    <w:rsid w:val="00E201FE"/>
    <w:rsid w:val="00E203E3"/>
    <w:rsid w:val="00E2056E"/>
    <w:rsid w:val="00E20BD3"/>
    <w:rsid w:val="00E21047"/>
    <w:rsid w:val="00E2135F"/>
    <w:rsid w:val="00E217E3"/>
    <w:rsid w:val="00E21888"/>
    <w:rsid w:val="00E21F06"/>
    <w:rsid w:val="00E2326C"/>
    <w:rsid w:val="00E2338E"/>
    <w:rsid w:val="00E233F9"/>
    <w:rsid w:val="00E23429"/>
    <w:rsid w:val="00E236F5"/>
    <w:rsid w:val="00E2381D"/>
    <w:rsid w:val="00E23924"/>
    <w:rsid w:val="00E23EBB"/>
    <w:rsid w:val="00E2400D"/>
    <w:rsid w:val="00E247C1"/>
    <w:rsid w:val="00E24AA0"/>
    <w:rsid w:val="00E25071"/>
    <w:rsid w:val="00E25573"/>
    <w:rsid w:val="00E25A0D"/>
    <w:rsid w:val="00E25E95"/>
    <w:rsid w:val="00E2613F"/>
    <w:rsid w:val="00E26382"/>
    <w:rsid w:val="00E263EA"/>
    <w:rsid w:val="00E26876"/>
    <w:rsid w:val="00E2775C"/>
    <w:rsid w:val="00E304A4"/>
    <w:rsid w:val="00E31824"/>
    <w:rsid w:val="00E32640"/>
    <w:rsid w:val="00E32D67"/>
    <w:rsid w:val="00E32F40"/>
    <w:rsid w:val="00E3335A"/>
    <w:rsid w:val="00E334AE"/>
    <w:rsid w:val="00E33915"/>
    <w:rsid w:val="00E33BB2"/>
    <w:rsid w:val="00E351DB"/>
    <w:rsid w:val="00E3627B"/>
    <w:rsid w:val="00E364E5"/>
    <w:rsid w:val="00E36733"/>
    <w:rsid w:val="00E36C9F"/>
    <w:rsid w:val="00E36E0F"/>
    <w:rsid w:val="00E371B9"/>
    <w:rsid w:val="00E3757B"/>
    <w:rsid w:val="00E377B9"/>
    <w:rsid w:val="00E37C89"/>
    <w:rsid w:val="00E37F57"/>
    <w:rsid w:val="00E40466"/>
    <w:rsid w:val="00E40520"/>
    <w:rsid w:val="00E40B0D"/>
    <w:rsid w:val="00E40E36"/>
    <w:rsid w:val="00E410C1"/>
    <w:rsid w:val="00E411E3"/>
    <w:rsid w:val="00E4163D"/>
    <w:rsid w:val="00E418B7"/>
    <w:rsid w:val="00E41C9C"/>
    <w:rsid w:val="00E42205"/>
    <w:rsid w:val="00E42572"/>
    <w:rsid w:val="00E42912"/>
    <w:rsid w:val="00E42C79"/>
    <w:rsid w:val="00E42EFD"/>
    <w:rsid w:val="00E431D0"/>
    <w:rsid w:val="00E4357C"/>
    <w:rsid w:val="00E4392D"/>
    <w:rsid w:val="00E440A5"/>
    <w:rsid w:val="00E44151"/>
    <w:rsid w:val="00E44498"/>
    <w:rsid w:val="00E45522"/>
    <w:rsid w:val="00E459AD"/>
    <w:rsid w:val="00E45AB2"/>
    <w:rsid w:val="00E45C03"/>
    <w:rsid w:val="00E4601A"/>
    <w:rsid w:val="00E4659C"/>
    <w:rsid w:val="00E4680D"/>
    <w:rsid w:val="00E46E7D"/>
    <w:rsid w:val="00E47300"/>
    <w:rsid w:val="00E4743D"/>
    <w:rsid w:val="00E47815"/>
    <w:rsid w:val="00E5059E"/>
    <w:rsid w:val="00E50973"/>
    <w:rsid w:val="00E50A4C"/>
    <w:rsid w:val="00E50CC6"/>
    <w:rsid w:val="00E51367"/>
    <w:rsid w:val="00E5143A"/>
    <w:rsid w:val="00E51963"/>
    <w:rsid w:val="00E51BEC"/>
    <w:rsid w:val="00E520E1"/>
    <w:rsid w:val="00E520FF"/>
    <w:rsid w:val="00E52BAE"/>
    <w:rsid w:val="00E52F4D"/>
    <w:rsid w:val="00E5310A"/>
    <w:rsid w:val="00E54030"/>
    <w:rsid w:val="00E54B90"/>
    <w:rsid w:val="00E55018"/>
    <w:rsid w:val="00E5515C"/>
    <w:rsid w:val="00E554DC"/>
    <w:rsid w:val="00E55546"/>
    <w:rsid w:val="00E5570B"/>
    <w:rsid w:val="00E55725"/>
    <w:rsid w:val="00E55995"/>
    <w:rsid w:val="00E55E3A"/>
    <w:rsid w:val="00E55E5D"/>
    <w:rsid w:val="00E5694A"/>
    <w:rsid w:val="00E56E00"/>
    <w:rsid w:val="00E57287"/>
    <w:rsid w:val="00E572CE"/>
    <w:rsid w:val="00E57988"/>
    <w:rsid w:val="00E57F55"/>
    <w:rsid w:val="00E6006F"/>
    <w:rsid w:val="00E60471"/>
    <w:rsid w:val="00E60493"/>
    <w:rsid w:val="00E606AB"/>
    <w:rsid w:val="00E6117C"/>
    <w:rsid w:val="00E6164B"/>
    <w:rsid w:val="00E616A2"/>
    <w:rsid w:val="00E61F99"/>
    <w:rsid w:val="00E625AE"/>
    <w:rsid w:val="00E62CE1"/>
    <w:rsid w:val="00E62E0A"/>
    <w:rsid w:val="00E632F8"/>
    <w:rsid w:val="00E6339A"/>
    <w:rsid w:val="00E6365C"/>
    <w:rsid w:val="00E63955"/>
    <w:rsid w:val="00E63974"/>
    <w:rsid w:val="00E63EE8"/>
    <w:rsid w:val="00E64136"/>
    <w:rsid w:val="00E64196"/>
    <w:rsid w:val="00E64351"/>
    <w:rsid w:val="00E651D6"/>
    <w:rsid w:val="00E65901"/>
    <w:rsid w:val="00E66102"/>
    <w:rsid w:val="00E6624B"/>
    <w:rsid w:val="00E66F71"/>
    <w:rsid w:val="00E6710E"/>
    <w:rsid w:val="00E6721A"/>
    <w:rsid w:val="00E6723E"/>
    <w:rsid w:val="00E6769C"/>
    <w:rsid w:val="00E67707"/>
    <w:rsid w:val="00E67810"/>
    <w:rsid w:val="00E67A20"/>
    <w:rsid w:val="00E700D1"/>
    <w:rsid w:val="00E7048D"/>
    <w:rsid w:val="00E7057D"/>
    <w:rsid w:val="00E71E03"/>
    <w:rsid w:val="00E72146"/>
    <w:rsid w:val="00E7218C"/>
    <w:rsid w:val="00E721F7"/>
    <w:rsid w:val="00E731AF"/>
    <w:rsid w:val="00E73383"/>
    <w:rsid w:val="00E73719"/>
    <w:rsid w:val="00E73B71"/>
    <w:rsid w:val="00E73E49"/>
    <w:rsid w:val="00E740BB"/>
    <w:rsid w:val="00E7420F"/>
    <w:rsid w:val="00E7457B"/>
    <w:rsid w:val="00E74981"/>
    <w:rsid w:val="00E74E77"/>
    <w:rsid w:val="00E75377"/>
    <w:rsid w:val="00E7537E"/>
    <w:rsid w:val="00E758B8"/>
    <w:rsid w:val="00E75A39"/>
    <w:rsid w:val="00E75D2E"/>
    <w:rsid w:val="00E75DBA"/>
    <w:rsid w:val="00E75E65"/>
    <w:rsid w:val="00E76B50"/>
    <w:rsid w:val="00E7743F"/>
    <w:rsid w:val="00E776D7"/>
    <w:rsid w:val="00E777A3"/>
    <w:rsid w:val="00E779E8"/>
    <w:rsid w:val="00E77A0B"/>
    <w:rsid w:val="00E77AED"/>
    <w:rsid w:val="00E804C4"/>
    <w:rsid w:val="00E80EAF"/>
    <w:rsid w:val="00E810B6"/>
    <w:rsid w:val="00E814B7"/>
    <w:rsid w:val="00E819A8"/>
    <w:rsid w:val="00E81E96"/>
    <w:rsid w:val="00E8246B"/>
    <w:rsid w:val="00E824D7"/>
    <w:rsid w:val="00E82670"/>
    <w:rsid w:val="00E8297E"/>
    <w:rsid w:val="00E83235"/>
    <w:rsid w:val="00E839EE"/>
    <w:rsid w:val="00E84406"/>
    <w:rsid w:val="00E847F7"/>
    <w:rsid w:val="00E84B34"/>
    <w:rsid w:val="00E84D47"/>
    <w:rsid w:val="00E85048"/>
    <w:rsid w:val="00E853BC"/>
    <w:rsid w:val="00E85F20"/>
    <w:rsid w:val="00E85F98"/>
    <w:rsid w:val="00E86F67"/>
    <w:rsid w:val="00E879B6"/>
    <w:rsid w:val="00E90CDB"/>
    <w:rsid w:val="00E91424"/>
    <w:rsid w:val="00E91EA0"/>
    <w:rsid w:val="00E9229D"/>
    <w:rsid w:val="00E92358"/>
    <w:rsid w:val="00E92383"/>
    <w:rsid w:val="00E924CB"/>
    <w:rsid w:val="00E9263A"/>
    <w:rsid w:val="00E92FC6"/>
    <w:rsid w:val="00E93765"/>
    <w:rsid w:val="00E93B0B"/>
    <w:rsid w:val="00E93D40"/>
    <w:rsid w:val="00E94B9D"/>
    <w:rsid w:val="00E94F56"/>
    <w:rsid w:val="00E94FB0"/>
    <w:rsid w:val="00E95DCB"/>
    <w:rsid w:val="00E95EE4"/>
    <w:rsid w:val="00E96131"/>
    <w:rsid w:val="00E96676"/>
    <w:rsid w:val="00E966F5"/>
    <w:rsid w:val="00E967BF"/>
    <w:rsid w:val="00E97FA7"/>
    <w:rsid w:val="00EA09B9"/>
    <w:rsid w:val="00EA0A28"/>
    <w:rsid w:val="00EA0A84"/>
    <w:rsid w:val="00EA0BD9"/>
    <w:rsid w:val="00EA0C89"/>
    <w:rsid w:val="00EA1496"/>
    <w:rsid w:val="00EA1C22"/>
    <w:rsid w:val="00EA1F4A"/>
    <w:rsid w:val="00EA25CA"/>
    <w:rsid w:val="00EA272B"/>
    <w:rsid w:val="00EA30FC"/>
    <w:rsid w:val="00EA32B0"/>
    <w:rsid w:val="00EA33B7"/>
    <w:rsid w:val="00EA366F"/>
    <w:rsid w:val="00EA3A87"/>
    <w:rsid w:val="00EA409A"/>
    <w:rsid w:val="00EA4A80"/>
    <w:rsid w:val="00EA4F08"/>
    <w:rsid w:val="00EA5307"/>
    <w:rsid w:val="00EA5456"/>
    <w:rsid w:val="00EA5526"/>
    <w:rsid w:val="00EA5C3C"/>
    <w:rsid w:val="00EA5EB6"/>
    <w:rsid w:val="00EA6B49"/>
    <w:rsid w:val="00EA6E5A"/>
    <w:rsid w:val="00EA6E6D"/>
    <w:rsid w:val="00EA7238"/>
    <w:rsid w:val="00EA741E"/>
    <w:rsid w:val="00EA7600"/>
    <w:rsid w:val="00EA777E"/>
    <w:rsid w:val="00EA7792"/>
    <w:rsid w:val="00EB013A"/>
    <w:rsid w:val="00EB0264"/>
    <w:rsid w:val="00EB0530"/>
    <w:rsid w:val="00EB0AB5"/>
    <w:rsid w:val="00EB0EE6"/>
    <w:rsid w:val="00EB0FDF"/>
    <w:rsid w:val="00EB15F7"/>
    <w:rsid w:val="00EB1718"/>
    <w:rsid w:val="00EB1871"/>
    <w:rsid w:val="00EB19FA"/>
    <w:rsid w:val="00EB1B9B"/>
    <w:rsid w:val="00EB2691"/>
    <w:rsid w:val="00EB2723"/>
    <w:rsid w:val="00EB2BD9"/>
    <w:rsid w:val="00EB2DE5"/>
    <w:rsid w:val="00EB34FA"/>
    <w:rsid w:val="00EB3742"/>
    <w:rsid w:val="00EB3C12"/>
    <w:rsid w:val="00EB4389"/>
    <w:rsid w:val="00EB4593"/>
    <w:rsid w:val="00EB48D8"/>
    <w:rsid w:val="00EB55AF"/>
    <w:rsid w:val="00EB55F1"/>
    <w:rsid w:val="00EB568D"/>
    <w:rsid w:val="00EB5761"/>
    <w:rsid w:val="00EB5824"/>
    <w:rsid w:val="00EB5D60"/>
    <w:rsid w:val="00EB5FCC"/>
    <w:rsid w:val="00EB619C"/>
    <w:rsid w:val="00EB626E"/>
    <w:rsid w:val="00EB6C2F"/>
    <w:rsid w:val="00EB6CED"/>
    <w:rsid w:val="00EB6F8B"/>
    <w:rsid w:val="00EB7268"/>
    <w:rsid w:val="00EB7E78"/>
    <w:rsid w:val="00EC079A"/>
    <w:rsid w:val="00EC07EF"/>
    <w:rsid w:val="00EC0817"/>
    <w:rsid w:val="00EC0E6B"/>
    <w:rsid w:val="00EC1093"/>
    <w:rsid w:val="00EC19E2"/>
    <w:rsid w:val="00EC1B15"/>
    <w:rsid w:val="00EC1E6B"/>
    <w:rsid w:val="00EC21C8"/>
    <w:rsid w:val="00EC285F"/>
    <w:rsid w:val="00EC2A23"/>
    <w:rsid w:val="00EC2B13"/>
    <w:rsid w:val="00EC2BA3"/>
    <w:rsid w:val="00EC2E4F"/>
    <w:rsid w:val="00EC3069"/>
    <w:rsid w:val="00EC311C"/>
    <w:rsid w:val="00EC313F"/>
    <w:rsid w:val="00EC319B"/>
    <w:rsid w:val="00EC335C"/>
    <w:rsid w:val="00EC3670"/>
    <w:rsid w:val="00EC4859"/>
    <w:rsid w:val="00EC4BA7"/>
    <w:rsid w:val="00EC530E"/>
    <w:rsid w:val="00EC5781"/>
    <w:rsid w:val="00EC5867"/>
    <w:rsid w:val="00EC62C0"/>
    <w:rsid w:val="00EC671C"/>
    <w:rsid w:val="00EC6BDB"/>
    <w:rsid w:val="00EC738E"/>
    <w:rsid w:val="00EC7917"/>
    <w:rsid w:val="00EC7DD8"/>
    <w:rsid w:val="00ED09C5"/>
    <w:rsid w:val="00ED09F6"/>
    <w:rsid w:val="00ED11D1"/>
    <w:rsid w:val="00ED18F7"/>
    <w:rsid w:val="00ED2447"/>
    <w:rsid w:val="00ED2B89"/>
    <w:rsid w:val="00ED3155"/>
    <w:rsid w:val="00ED36C3"/>
    <w:rsid w:val="00ED3C4A"/>
    <w:rsid w:val="00ED410D"/>
    <w:rsid w:val="00ED459F"/>
    <w:rsid w:val="00ED46CF"/>
    <w:rsid w:val="00ED46D3"/>
    <w:rsid w:val="00ED486B"/>
    <w:rsid w:val="00ED4C07"/>
    <w:rsid w:val="00ED5793"/>
    <w:rsid w:val="00ED5847"/>
    <w:rsid w:val="00ED59F3"/>
    <w:rsid w:val="00ED6395"/>
    <w:rsid w:val="00ED6A3D"/>
    <w:rsid w:val="00ED6FAE"/>
    <w:rsid w:val="00ED7BCF"/>
    <w:rsid w:val="00ED7F4A"/>
    <w:rsid w:val="00EE0A15"/>
    <w:rsid w:val="00EE0E7F"/>
    <w:rsid w:val="00EE1484"/>
    <w:rsid w:val="00EE1598"/>
    <w:rsid w:val="00EE15C1"/>
    <w:rsid w:val="00EE1C9C"/>
    <w:rsid w:val="00EE1D61"/>
    <w:rsid w:val="00EE213B"/>
    <w:rsid w:val="00EE220C"/>
    <w:rsid w:val="00EE2CBB"/>
    <w:rsid w:val="00EE2D62"/>
    <w:rsid w:val="00EE33F7"/>
    <w:rsid w:val="00EE353F"/>
    <w:rsid w:val="00EE3548"/>
    <w:rsid w:val="00EE356C"/>
    <w:rsid w:val="00EE35BD"/>
    <w:rsid w:val="00EE3E0A"/>
    <w:rsid w:val="00EE3FCD"/>
    <w:rsid w:val="00EE506F"/>
    <w:rsid w:val="00EE52A5"/>
    <w:rsid w:val="00EE5B08"/>
    <w:rsid w:val="00EE5F4A"/>
    <w:rsid w:val="00EE5FA8"/>
    <w:rsid w:val="00EE600A"/>
    <w:rsid w:val="00EE62BC"/>
    <w:rsid w:val="00EE66ED"/>
    <w:rsid w:val="00EE721D"/>
    <w:rsid w:val="00EE731F"/>
    <w:rsid w:val="00EE7D37"/>
    <w:rsid w:val="00EF095C"/>
    <w:rsid w:val="00EF0A14"/>
    <w:rsid w:val="00EF16BF"/>
    <w:rsid w:val="00EF1C0A"/>
    <w:rsid w:val="00EF1C32"/>
    <w:rsid w:val="00EF1CF8"/>
    <w:rsid w:val="00EF1E71"/>
    <w:rsid w:val="00EF23DC"/>
    <w:rsid w:val="00EF25E6"/>
    <w:rsid w:val="00EF2BD6"/>
    <w:rsid w:val="00EF2EDC"/>
    <w:rsid w:val="00EF346C"/>
    <w:rsid w:val="00EF375C"/>
    <w:rsid w:val="00EF39FC"/>
    <w:rsid w:val="00EF3A46"/>
    <w:rsid w:val="00EF3BDC"/>
    <w:rsid w:val="00EF3E1C"/>
    <w:rsid w:val="00EF412F"/>
    <w:rsid w:val="00EF4693"/>
    <w:rsid w:val="00EF4A12"/>
    <w:rsid w:val="00EF4F3A"/>
    <w:rsid w:val="00EF5CF6"/>
    <w:rsid w:val="00EF63D6"/>
    <w:rsid w:val="00EF64B5"/>
    <w:rsid w:val="00EF6559"/>
    <w:rsid w:val="00EF6740"/>
    <w:rsid w:val="00EF6BFD"/>
    <w:rsid w:val="00EF6C68"/>
    <w:rsid w:val="00EF6EFC"/>
    <w:rsid w:val="00EF7B7D"/>
    <w:rsid w:val="00EF7D6E"/>
    <w:rsid w:val="00EF7D75"/>
    <w:rsid w:val="00EF7DB3"/>
    <w:rsid w:val="00F00222"/>
    <w:rsid w:val="00F0068E"/>
    <w:rsid w:val="00F007EC"/>
    <w:rsid w:val="00F00866"/>
    <w:rsid w:val="00F0086D"/>
    <w:rsid w:val="00F00908"/>
    <w:rsid w:val="00F00E82"/>
    <w:rsid w:val="00F01004"/>
    <w:rsid w:val="00F01798"/>
    <w:rsid w:val="00F01821"/>
    <w:rsid w:val="00F01A7E"/>
    <w:rsid w:val="00F02527"/>
    <w:rsid w:val="00F0252D"/>
    <w:rsid w:val="00F02EA9"/>
    <w:rsid w:val="00F02F9D"/>
    <w:rsid w:val="00F0307E"/>
    <w:rsid w:val="00F03250"/>
    <w:rsid w:val="00F03321"/>
    <w:rsid w:val="00F0365A"/>
    <w:rsid w:val="00F0366E"/>
    <w:rsid w:val="00F04395"/>
    <w:rsid w:val="00F043A5"/>
    <w:rsid w:val="00F04AD2"/>
    <w:rsid w:val="00F04C30"/>
    <w:rsid w:val="00F04F6F"/>
    <w:rsid w:val="00F056F3"/>
    <w:rsid w:val="00F05703"/>
    <w:rsid w:val="00F05B6C"/>
    <w:rsid w:val="00F05FB4"/>
    <w:rsid w:val="00F0638A"/>
    <w:rsid w:val="00F068CB"/>
    <w:rsid w:val="00F06BCF"/>
    <w:rsid w:val="00F07373"/>
    <w:rsid w:val="00F073A0"/>
    <w:rsid w:val="00F07402"/>
    <w:rsid w:val="00F0798A"/>
    <w:rsid w:val="00F07A6B"/>
    <w:rsid w:val="00F07F8B"/>
    <w:rsid w:val="00F1048E"/>
    <w:rsid w:val="00F109AB"/>
    <w:rsid w:val="00F11007"/>
    <w:rsid w:val="00F11496"/>
    <w:rsid w:val="00F1172B"/>
    <w:rsid w:val="00F11939"/>
    <w:rsid w:val="00F11B7E"/>
    <w:rsid w:val="00F11C83"/>
    <w:rsid w:val="00F122B3"/>
    <w:rsid w:val="00F123A8"/>
    <w:rsid w:val="00F12761"/>
    <w:rsid w:val="00F131D9"/>
    <w:rsid w:val="00F1338F"/>
    <w:rsid w:val="00F13B81"/>
    <w:rsid w:val="00F14066"/>
    <w:rsid w:val="00F147D0"/>
    <w:rsid w:val="00F1480E"/>
    <w:rsid w:val="00F14FA6"/>
    <w:rsid w:val="00F15175"/>
    <w:rsid w:val="00F15613"/>
    <w:rsid w:val="00F15638"/>
    <w:rsid w:val="00F15783"/>
    <w:rsid w:val="00F1613D"/>
    <w:rsid w:val="00F1671A"/>
    <w:rsid w:val="00F167E5"/>
    <w:rsid w:val="00F17163"/>
    <w:rsid w:val="00F171D8"/>
    <w:rsid w:val="00F1720D"/>
    <w:rsid w:val="00F17721"/>
    <w:rsid w:val="00F17AA3"/>
    <w:rsid w:val="00F17BA5"/>
    <w:rsid w:val="00F17F04"/>
    <w:rsid w:val="00F200A4"/>
    <w:rsid w:val="00F20300"/>
    <w:rsid w:val="00F208A5"/>
    <w:rsid w:val="00F20F4E"/>
    <w:rsid w:val="00F2100C"/>
    <w:rsid w:val="00F21692"/>
    <w:rsid w:val="00F225A1"/>
    <w:rsid w:val="00F22690"/>
    <w:rsid w:val="00F229BC"/>
    <w:rsid w:val="00F229F6"/>
    <w:rsid w:val="00F22F14"/>
    <w:rsid w:val="00F22F41"/>
    <w:rsid w:val="00F2307C"/>
    <w:rsid w:val="00F230D5"/>
    <w:rsid w:val="00F2321B"/>
    <w:rsid w:val="00F244D2"/>
    <w:rsid w:val="00F24611"/>
    <w:rsid w:val="00F246E9"/>
    <w:rsid w:val="00F24E82"/>
    <w:rsid w:val="00F2573B"/>
    <w:rsid w:val="00F25A45"/>
    <w:rsid w:val="00F27374"/>
    <w:rsid w:val="00F2760B"/>
    <w:rsid w:val="00F276EC"/>
    <w:rsid w:val="00F27BE2"/>
    <w:rsid w:val="00F3046C"/>
    <w:rsid w:val="00F30AA6"/>
    <w:rsid w:val="00F31790"/>
    <w:rsid w:val="00F31EC1"/>
    <w:rsid w:val="00F32049"/>
    <w:rsid w:val="00F322C3"/>
    <w:rsid w:val="00F3268A"/>
    <w:rsid w:val="00F32917"/>
    <w:rsid w:val="00F32A13"/>
    <w:rsid w:val="00F32B8D"/>
    <w:rsid w:val="00F331B2"/>
    <w:rsid w:val="00F34F65"/>
    <w:rsid w:val="00F3567B"/>
    <w:rsid w:val="00F35837"/>
    <w:rsid w:val="00F36578"/>
    <w:rsid w:val="00F36E9A"/>
    <w:rsid w:val="00F36ECA"/>
    <w:rsid w:val="00F37FA7"/>
    <w:rsid w:val="00F40310"/>
    <w:rsid w:val="00F403AF"/>
    <w:rsid w:val="00F40498"/>
    <w:rsid w:val="00F41A91"/>
    <w:rsid w:val="00F41BBE"/>
    <w:rsid w:val="00F4334A"/>
    <w:rsid w:val="00F43A1B"/>
    <w:rsid w:val="00F43D84"/>
    <w:rsid w:val="00F4480B"/>
    <w:rsid w:val="00F44941"/>
    <w:rsid w:val="00F45217"/>
    <w:rsid w:val="00F45667"/>
    <w:rsid w:val="00F45698"/>
    <w:rsid w:val="00F457AA"/>
    <w:rsid w:val="00F458E3"/>
    <w:rsid w:val="00F45D53"/>
    <w:rsid w:val="00F46034"/>
    <w:rsid w:val="00F46137"/>
    <w:rsid w:val="00F46250"/>
    <w:rsid w:val="00F465CB"/>
    <w:rsid w:val="00F469D4"/>
    <w:rsid w:val="00F46ABA"/>
    <w:rsid w:val="00F46CF1"/>
    <w:rsid w:val="00F46D06"/>
    <w:rsid w:val="00F46EBF"/>
    <w:rsid w:val="00F47290"/>
    <w:rsid w:val="00F472D7"/>
    <w:rsid w:val="00F4731A"/>
    <w:rsid w:val="00F479D4"/>
    <w:rsid w:val="00F47F44"/>
    <w:rsid w:val="00F500FF"/>
    <w:rsid w:val="00F502F1"/>
    <w:rsid w:val="00F512EA"/>
    <w:rsid w:val="00F51B34"/>
    <w:rsid w:val="00F5256D"/>
    <w:rsid w:val="00F534A5"/>
    <w:rsid w:val="00F53749"/>
    <w:rsid w:val="00F5399E"/>
    <w:rsid w:val="00F540B8"/>
    <w:rsid w:val="00F546BF"/>
    <w:rsid w:val="00F54846"/>
    <w:rsid w:val="00F54C6E"/>
    <w:rsid w:val="00F553BE"/>
    <w:rsid w:val="00F554A8"/>
    <w:rsid w:val="00F55C41"/>
    <w:rsid w:val="00F561B8"/>
    <w:rsid w:val="00F56456"/>
    <w:rsid w:val="00F5672E"/>
    <w:rsid w:val="00F56887"/>
    <w:rsid w:val="00F56C2E"/>
    <w:rsid w:val="00F57501"/>
    <w:rsid w:val="00F57685"/>
    <w:rsid w:val="00F57E4A"/>
    <w:rsid w:val="00F601E7"/>
    <w:rsid w:val="00F606AA"/>
    <w:rsid w:val="00F60780"/>
    <w:rsid w:val="00F61F80"/>
    <w:rsid w:val="00F627BC"/>
    <w:rsid w:val="00F627CA"/>
    <w:rsid w:val="00F6283C"/>
    <w:rsid w:val="00F62C25"/>
    <w:rsid w:val="00F62D1F"/>
    <w:rsid w:val="00F63031"/>
    <w:rsid w:val="00F630C4"/>
    <w:rsid w:val="00F6320B"/>
    <w:rsid w:val="00F63440"/>
    <w:rsid w:val="00F63769"/>
    <w:rsid w:val="00F63FA6"/>
    <w:rsid w:val="00F645F2"/>
    <w:rsid w:val="00F64914"/>
    <w:rsid w:val="00F64CCA"/>
    <w:rsid w:val="00F65BD6"/>
    <w:rsid w:val="00F65D6E"/>
    <w:rsid w:val="00F666D5"/>
    <w:rsid w:val="00F67B7B"/>
    <w:rsid w:val="00F67C36"/>
    <w:rsid w:val="00F67E87"/>
    <w:rsid w:val="00F70773"/>
    <w:rsid w:val="00F70833"/>
    <w:rsid w:val="00F70BF1"/>
    <w:rsid w:val="00F70E15"/>
    <w:rsid w:val="00F7157A"/>
    <w:rsid w:val="00F71B68"/>
    <w:rsid w:val="00F71C7A"/>
    <w:rsid w:val="00F71EE0"/>
    <w:rsid w:val="00F72BFA"/>
    <w:rsid w:val="00F72D90"/>
    <w:rsid w:val="00F731E1"/>
    <w:rsid w:val="00F7380E"/>
    <w:rsid w:val="00F73E31"/>
    <w:rsid w:val="00F73EE5"/>
    <w:rsid w:val="00F7418B"/>
    <w:rsid w:val="00F74359"/>
    <w:rsid w:val="00F74719"/>
    <w:rsid w:val="00F756DD"/>
    <w:rsid w:val="00F756E7"/>
    <w:rsid w:val="00F75700"/>
    <w:rsid w:val="00F757D4"/>
    <w:rsid w:val="00F75D31"/>
    <w:rsid w:val="00F75F82"/>
    <w:rsid w:val="00F7658C"/>
    <w:rsid w:val="00F768D3"/>
    <w:rsid w:val="00F77424"/>
    <w:rsid w:val="00F777C1"/>
    <w:rsid w:val="00F777C3"/>
    <w:rsid w:val="00F7786C"/>
    <w:rsid w:val="00F807F5"/>
    <w:rsid w:val="00F8086B"/>
    <w:rsid w:val="00F80A52"/>
    <w:rsid w:val="00F80EFA"/>
    <w:rsid w:val="00F81DD5"/>
    <w:rsid w:val="00F8228D"/>
    <w:rsid w:val="00F82CF6"/>
    <w:rsid w:val="00F82DC7"/>
    <w:rsid w:val="00F835B4"/>
    <w:rsid w:val="00F83D40"/>
    <w:rsid w:val="00F83ECA"/>
    <w:rsid w:val="00F83F7C"/>
    <w:rsid w:val="00F84781"/>
    <w:rsid w:val="00F84840"/>
    <w:rsid w:val="00F85815"/>
    <w:rsid w:val="00F858F4"/>
    <w:rsid w:val="00F85EDF"/>
    <w:rsid w:val="00F861E8"/>
    <w:rsid w:val="00F8645A"/>
    <w:rsid w:val="00F86911"/>
    <w:rsid w:val="00F87729"/>
    <w:rsid w:val="00F8787E"/>
    <w:rsid w:val="00F90147"/>
    <w:rsid w:val="00F9095F"/>
    <w:rsid w:val="00F90C53"/>
    <w:rsid w:val="00F90CD1"/>
    <w:rsid w:val="00F90E5A"/>
    <w:rsid w:val="00F90F1F"/>
    <w:rsid w:val="00F914B3"/>
    <w:rsid w:val="00F91536"/>
    <w:rsid w:val="00F91C06"/>
    <w:rsid w:val="00F91E42"/>
    <w:rsid w:val="00F927DB"/>
    <w:rsid w:val="00F929A0"/>
    <w:rsid w:val="00F92A27"/>
    <w:rsid w:val="00F92CD7"/>
    <w:rsid w:val="00F9326E"/>
    <w:rsid w:val="00F9368A"/>
    <w:rsid w:val="00F94842"/>
    <w:rsid w:val="00F953D8"/>
    <w:rsid w:val="00F95408"/>
    <w:rsid w:val="00F95952"/>
    <w:rsid w:val="00F95E8D"/>
    <w:rsid w:val="00F95F43"/>
    <w:rsid w:val="00F9614B"/>
    <w:rsid w:val="00F9656C"/>
    <w:rsid w:val="00F968AD"/>
    <w:rsid w:val="00F96B40"/>
    <w:rsid w:val="00F96D06"/>
    <w:rsid w:val="00F96FCB"/>
    <w:rsid w:val="00F97115"/>
    <w:rsid w:val="00F9759E"/>
    <w:rsid w:val="00F9799C"/>
    <w:rsid w:val="00FA0F0A"/>
    <w:rsid w:val="00FA188A"/>
    <w:rsid w:val="00FA1899"/>
    <w:rsid w:val="00FA1BB7"/>
    <w:rsid w:val="00FA208E"/>
    <w:rsid w:val="00FA2265"/>
    <w:rsid w:val="00FA2392"/>
    <w:rsid w:val="00FA2638"/>
    <w:rsid w:val="00FA265E"/>
    <w:rsid w:val="00FA28BE"/>
    <w:rsid w:val="00FA2AFA"/>
    <w:rsid w:val="00FA2B32"/>
    <w:rsid w:val="00FA2DBA"/>
    <w:rsid w:val="00FA342E"/>
    <w:rsid w:val="00FA34D1"/>
    <w:rsid w:val="00FA3919"/>
    <w:rsid w:val="00FA3ABC"/>
    <w:rsid w:val="00FA3B1A"/>
    <w:rsid w:val="00FA3BE0"/>
    <w:rsid w:val="00FA4E58"/>
    <w:rsid w:val="00FA50D7"/>
    <w:rsid w:val="00FA5B53"/>
    <w:rsid w:val="00FA6A5F"/>
    <w:rsid w:val="00FA6B14"/>
    <w:rsid w:val="00FA6CBA"/>
    <w:rsid w:val="00FA6E49"/>
    <w:rsid w:val="00FA72D5"/>
    <w:rsid w:val="00FA78E3"/>
    <w:rsid w:val="00FA79ED"/>
    <w:rsid w:val="00FA7D8E"/>
    <w:rsid w:val="00FA7F69"/>
    <w:rsid w:val="00FB0B40"/>
    <w:rsid w:val="00FB154A"/>
    <w:rsid w:val="00FB1717"/>
    <w:rsid w:val="00FB1789"/>
    <w:rsid w:val="00FB1836"/>
    <w:rsid w:val="00FB21B5"/>
    <w:rsid w:val="00FB2547"/>
    <w:rsid w:val="00FB2669"/>
    <w:rsid w:val="00FB26B7"/>
    <w:rsid w:val="00FB2B2E"/>
    <w:rsid w:val="00FB2F6E"/>
    <w:rsid w:val="00FB33E2"/>
    <w:rsid w:val="00FB33F1"/>
    <w:rsid w:val="00FB3EE9"/>
    <w:rsid w:val="00FB47F9"/>
    <w:rsid w:val="00FB51E6"/>
    <w:rsid w:val="00FB5ADF"/>
    <w:rsid w:val="00FB5BF0"/>
    <w:rsid w:val="00FB5C4F"/>
    <w:rsid w:val="00FB615D"/>
    <w:rsid w:val="00FB6A04"/>
    <w:rsid w:val="00FB6DB6"/>
    <w:rsid w:val="00FB7071"/>
    <w:rsid w:val="00FB7A86"/>
    <w:rsid w:val="00FB7CF0"/>
    <w:rsid w:val="00FB7F3F"/>
    <w:rsid w:val="00FC0554"/>
    <w:rsid w:val="00FC0B21"/>
    <w:rsid w:val="00FC0B6A"/>
    <w:rsid w:val="00FC1E55"/>
    <w:rsid w:val="00FC1F1F"/>
    <w:rsid w:val="00FC1FB4"/>
    <w:rsid w:val="00FC28ED"/>
    <w:rsid w:val="00FC2AAE"/>
    <w:rsid w:val="00FC2BA8"/>
    <w:rsid w:val="00FC2E6F"/>
    <w:rsid w:val="00FC3D99"/>
    <w:rsid w:val="00FC44C8"/>
    <w:rsid w:val="00FC4563"/>
    <w:rsid w:val="00FC4EAF"/>
    <w:rsid w:val="00FC5ABA"/>
    <w:rsid w:val="00FC5B5A"/>
    <w:rsid w:val="00FC69C3"/>
    <w:rsid w:val="00FC6A24"/>
    <w:rsid w:val="00FC7067"/>
    <w:rsid w:val="00FC7DC7"/>
    <w:rsid w:val="00FD03B8"/>
    <w:rsid w:val="00FD08C0"/>
    <w:rsid w:val="00FD08CB"/>
    <w:rsid w:val="00FD0B78"/>
    <w:rsid w:val="00FD0E34"/>
    <w:rsid w:val="00FD1D8A"/>
    <w:rsid w:val="00FD1FCE"/>
    <w:rsid w:val="00FD20A3"/>
    <w:rsid w:val="00FD2627"/>
    <w:rsid w:val="00FD38C2"/>
    <w:rsid w:val="00FD49D4"/>
    <w:rsid w:val="00FD4AB8"/>
    <w:rsid w:val="00FD4C83"/>
    <w:rsid w:val="00FD4C97"/>
    <w:rsid w:val="00FD584F"/>
    <w:rsid w:val="00FD6264"/>
    <w:rsid w:val="00FD68EA"/>
    <w:rsid w:val="00FD6C60"/>
    <w:rsid w:val="00FD723A"/>
    <w:rsid w:val="00FD7801"/>
    <w:rsid w:val="00FE0563"/>
    <w:rsid w:val="00FE087C"/>
    <w:rsid w:val="00FE1177"/>
    <w:rsid w:val="00FE145C"/>
    <w:rsid w:val="00FE1470"/>
    <w:rsid w:val="00FE15AC"/>
    <w:rsid w:val="00FE19AC"/>
    <w:rsid w:val="00FE2232"/>
    <w:rsid w:val="00FE22DD"/>
    <w:rsid w:val="00FE269D"/>
    <w:rsid w:val="00FE2703"/>
    <w:rsid w:val="00FE2848"/>
    <w:rsid w:val="00FE28B4"/>
    <w:rsid w:val="00FE31CC"/>
    <w:rsid w:val="00FE3406"/>
    <w:rsid w:val="00FE38AF"/>
    <w:rsid w:val="00FE392E"/>
    <w:rsid w:val="00FE56BA"/>
    <w:rsid w:val="00FE57E8"/>
    <w:rsid w:val="00FE624D"/>
    <w:rsid w:val="00FE64A9"/>
    <w:rsid w:val="00FE64DE"/>
    <w:rsid w:val="00FE751D"/>
    <w:rsid w:val="00FE756A"/>
    <w:rsid w:val="00FE790E"/>
    <w:rsid w:val="00FE7C70"/>
    <w:rsid w:val="00FF1497"/>
    <w:rsid w:val="00FF18F7"/>
    <w:rsid w:val="00FF18FF"/>
    <w:rsid w:val="00FF1962"/>
    <w:rsid w:val="00FF2199"/>
    <w:rsid w:val="00FF230C"/>
    <w:rsid w:val="00FF246A"/>
    <w:rsid w:val="00FF28A5"/>
    <w:rsid w:val="00FF2D6A"/>
    <w:rsid w:val="00FF2EFE"/>
    <w:rsid w:val="00FF2F2E"/>
    <w:rsid w:val="00FF33B4"/>
    <w:rsid w:val="00FF3F32"/>
    <w:rsid w:val="00FF3FF5"/>
    <w:rsid w:val="00FF48E1"/>
    <w:rsid w:val="00FF49BD"/>
    <w:rsid w:val="00FF4B57"/>
    <w:rsid w:val="00FF5B7E"/>
    <w:rsid w:val="00FF5FB9"/>
    <w:rsid w:val="00FF5FCD"/>
    <w:rsid w:val="00FF61B2"/>
    <w:rsid w:val="00FF62A7"/>
    <w:rsid w:val="00FF641D"/>
    <w:rsid w:val="00FF66D4"/>
    <w:rsid w:val="00FF6BE5"/>
    <w:rsid w:val="00FF73F8"/>
    <w:rsid w:val="00FF77B7"/>
    <w:rsid w:val="00FF7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C0F0053"/>
  <w15:docId w15:val="{59AC5163-C2B9-FE4D-A11F-0C07D3658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542AB3"/>
    <w:rPr>
      <w:rFonts w:eastAsia="Times New Roman"/>
      <w:sz w:val="24"/>
      <w:szCs w:val="24"/>
      <w:lang w:val="en-GB" w:eastAsia="fr-FR"/>
    </w:rPr>
  </w:style>
  <w:style w:type="paragraph" w:styleId="1">
    <w:name w:val="heading 1"/>
    <w:basedOn w:val="a0"/>
    <w:next w:val="a0"/>
    <w:qFormat/>
    <w:pPr>
      <w:keepNext/>
      <w:spacing w:before="240" w:after="60"/>
      <w:outlineLvl w:val="0"/>
    </w:pPr>
    <w:rPr>
      <w:rFonts w:ascii="Arial" w:eastAsia="ＭＳ 明朝" w:hAnsi="Arial"/>
      <w:b/>
      <w:kern w:val="28"/>
      <w:sz w:val="28"/>
      <w:szCs w:val="22"/>
      <w:lang w:eastAsia="ja-JP"/>
    </w:rPr>
  </w:style>
  <w:style w:type="paragraph" w:styleId="2">
    <w:name w:val="heading 2"/>
    <w:basedOn w:val="a0"/>
    <w:next w:val="a0"/>
    <w:qFormat/>
    <w:rsid w:val="000D1214"/>
    <w:pPr>
      <w:keepNext/>
      <w:spacing w:before="240" w:after="240"/>
      <w:jc w:val="center"/>
      <w:outlineLvl w:val="1"/>
    </w:pPr>
    <w:rPr>
      <w:rFonts w:eastAsia="ＭＳ 明朝"/>
      <w:b/>
      <w:iCs/>
      <w:sz w:val="28"/>
      <w:szCs w:val="28"/>
      <w:lang w:eastAsia="ja-JP"/>
    </w:rPr>
  </w:style>
  <w:style w:type="paragraph" w:styleId="3">
    <w:name w:val="heading 3"/>
    <w:basedOn w:val="a0"/>
    <w:next w:val="a0"/>
    <w:link w:val="30"/>
    <w:qFormat/>
    <w:pPr>
      <w:keepNext/>
      <w:spacing w:before="240" w:after="60"/>
      <w:outlineLvl w:val="2"/>
    </w:pPr>
    <w:rPr>
      <w:rFonts w:ascii="Arial" w:eastAsia="ＭＳ 明朝" w:hAnsi="Arial"/>
      <w:sz w:val="22"/>
      <w:szCs w:val="22"/>
      <w:lang w:eastAsia="ja-JP"/>
    </w:rPr>
  </w:style>
  <w:style w:type="paragraph" w:styleId="4">
    <w:name w:val="heading 4"/>
    <w:basedOn w:val="a0"/>
    <w:next w:val="a0"/>
    <w:qFormat/>
    <w:pPr>
      <w:keepNext/>
      <w:numPr>
        <w:ilvl w:val="3"/>
        <w:numId w:val="8"/>
      </w:numPr>
      <w:spacing w:before="240" w:after="60"/>
      <w:outlineLvl w:val="3"/>
    </w:pPr>
    <w:rPr>
      <w:rFonts w:ascii="Arial" w:eastAsia="ＭＳ 明朝" w:hAnsi="Arial"/>
      <w:b/>
      <w:sz w:val="22"/>
      <w:szCs w:val="22"/>
      <w:lang w:eastAsia="ja-JP"/>
    </w:rPr>
  </w:style>
  <w:style w:type="paragraph" w:styleId="5">
    <w:name w:val="heading 5"/>
    <w:basedOn w:val="a0"/>
    <w:next w:val="a0"/>
    <w:qFormat/>
    <w:pPr>
      <w:numPr>
        <w:ilvl w:val="4"/>
        <w:numId w:val="8"/>
      </w:numPr>
      <w:spacing w:before="240" w:after="60"/>
      <w:outlineLvl w:val="4"/>
    </w:pPr>
    <w:rPr>
      <w:rFonts w:ascii="Arial" w:eastAsia="ＭＳ 明朝" w:hAnsi="Arial"/>
      <w:sz w:val="22"/>
      <w:szCs w:val="22"/>
      <w:lang w:eastAsia="ja-JP"/>
    </w:rPr>
  </w:style>
  <w:style w:type="paragraph" w:styleId="6">
    <w:name w:val="heading 6"/>
    <w:basedOn w:val="a0"/>
    <w:next w:val="a0"/>
    <w:qFormat/>
    <w:pPr>
      <w:numPr>
        <w:ilvl w:val="5"/>
        <w:numId w:val="8"/>
      </w:numPr>
      <w:spacing w:before="240" w:after="60"/>
      <w:outlineLvl w:val="5"/>
    </w:pPr>
    <w:rPr>
      <w:rFonts w:eastAsia="ＭＳ 明朝"/>
      <w:i/>
      <w:sz w:val="22"/>
      <w:szCs w:val="22"/>
      <w:lang w:eastAsia="ja-JP"/>
    </w:rPr>
  </w:style>
  <w:style w:type="paragraph" w:styleId="7">
    <w:name w:val="heading 7"/>
    <w:basedOn w:val="a0"/>
    <w:next w:val="a0"/>
    <w:qFormat/>
    <w:pPr>
      <w:numPr>
        <w:ilvl w:val="6"/>
        <w:numId w:val="8"/>
      </w:numPr>
      <w:spacing w:before="240" w:after="60"/>
      <w:outlineLvl w:val="6"/>
    </w:pPr>
    <w:rPr>
      <w:rFonts w:ascii="Arial" w:eastAsia="ＭＳ 明朝" w:hAnsi="Arial"/>
      <w:sz w:val="22"/>
      <w:szCs w:val="22"/>
      <w:lang w:eastAsia="ja-JP"/>
    </w:rPr>
  </w:style>
  <w:style w:type="paragraph" w:styleId="8">
    <w:name w:val="heading 8"/>
    <w:basedOn w:val="a0"/>
    <w:next w:val="a0"/>
    <w:qFormat/>
    <w:pPr>
      <w:numPr>
        <w:ilvl w:val="7"/>
        <w:numId w:val="8"/>
      </w:numPr>
      <w:spacing w:before="240" w:after="60"/>
      <w:outlineLvl w:val="7"/>
    </w:pPr>
    <w:rPr>
      <w:rFonts w:ascii="Arial" w:eastAsia="ＭＳ 明朝" w:hAnsi="Arial"/>
      <w:i/>
      <w:sz w:val="22"/>
      <w:szCs w:val="22"/>
      <w:lang w:eastAsia="ja-JP"/>
    </w:rPr>
  </w:style>
  <w:style w:type="paragraph" w:styleId="9">
    <w:name w:val="heading 9"/>
    <w:basedOn w:val="a0"/>
    <w:next w:val="a0"/>
    <w:qFormat/>
    <w:pPr>
      <w:numPr>
        <w:ilvl w:val="8"/>
        <w:numId w:val="8"/>
      </w:numPr>
      <w:spacing w:before="240" w:after="60"/>
      <w:outlineLvl w:val="8"/>
    </w:pPr>
    <w:rPr>
      <w:rFonts w:ascii="Arial" w:eastAsia="ＭＳ 明朝" w:hAnsi="Arial"/>
      <w:b/>
      <w:i/>
      <w:sz w:val="18"/>
      <w:szCs w:val="22"/>
      <w:lang w:eastAsia="ja-JP"/>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pPr>
      <w:tabs>
        <w:tab w:val="center" w:pos="4153"/>
        <w:tab w:val="right" w:pos="8306"/>
      </w:tabs>
    </w:pPr>
    <w:rPr>
      <w:rFonts w:eastAsia="ＭＳ 明朝"/>
      <w:sz w:val="22"/>
      <w:szCs w:val="22"/>
      <w:lang w:eastAsia="ja-JP"/>
    </w:rPr>
  </w:style>
  <w:style w:type="character" w:styleId="a6">
    <w:name w:val="page number"/>
  </w:style>
  <w:style w:type="character" w:styleId="a7">
    <w:name w:val="footnote reference"/>
    <w:semiHidden/>
    <w:rPr>
      <w:vertAlign w:val="superscript"/>
    </w:rPr>
  </w:style>
  <w:style w:type="paragraph" w:styleId="a8">
    <w:name w:val="footnote text"/>
    <w:basedOn w:val="a0"/>
    <w:semiHidden/>
    <w:rPr>
      <w:rFonts w:eastAsia="ＭＳ 明朝"/>
      <w:sz w:val="22"/>
      <w:szCs w:val="22"/>
      <w:lang w:eastAsia="ja-JP"/>
    </w:rPr>
  </w:style>
  <w:style w:type="paragraph" w:styleId="20">
    <w:name w:val="List 2"/>
    <w:basedOn w:val="a0"/>
    <w:pPr>
      <w:ind w:left="566" w:hanging="283"/>
    </w:pPr>
    <w:rPr>
      <w:rFonts w:eastAsia="ＭＳ 明朝"/>
      <w:sz w:val="22"/>
      <w:szCs w:val="22"/>
      <w:lang w:eastAsia="ja-JP"/>
    </w:rPr>
  </w:style>
  <w:style w:type="paragraph" w:styleId="a9">
    <w:name w:val="Date"/>
    <w:basedOn w:val="a0"/>
    <w:rPr>
      <w:rFonts w:eastAsia="ＭＳ 明朝"/>
      <w:sz w:val="22"/>
      <w:szCs w:val="22"/>
      <w:lang w:eastAsia="ja-JP"/>
    </w:rPr>
  </w:style>
  <w:style w:type="paragraph" w:styleId="a">
    <w:name w:val="List Bullet"/>
    <w:basedOn w:val="a0"/>
    <w:autoRedefine/>
    <w:pPr>
      <w:numPr>
        <w:numId w:val="7"/>
      </w:numPr>
      <w:jc w:val="both"/>
    </w:pPr>
    <w:rPr>
      <w:rFonts w:eastAsia="ＭＳ 明朝"/>
      <w:b/>
      <w:lang w:eastAsia="ja-JP"/>
    </w:rPr>
  </w:style>
  <w:style w:type="paragraph" w:styleId="aa">
    <w:name w:val="Body Text"/>
    <w:basedOn w:val="a0"/>
    <w:pPr>
      <w:spacing w:before="160" w:line="280" w:lineRule="atLeast"/>
    </w:pPr>
    <w:rPr>
      <w:rFonts w:eastAsia="ＭＳ 明朝"/>
      <w:color w:val="000000"/>
      <w:sz w:val="22"/>
      <w:szCs w:val="22"/>
      <w:lang w:val="sv-SE" w:eastAsia="ja-JP"/>
    </w:rPr>
  </w:style>
  <w:style w:type="paragraph" w:styleId="ab">
    <w:name w:val="Body Text Indent"/>
    <w:basedOn w:val="a0"/>
    <w:pPr>
      <w:keepLines/>
    </w:pPr>
    <w:rPr>
      <w:rFonts w:eastAsia="ＭＳ 明朝"/>
      <w:sz w:val="22"/>
      <w:szCs w:val="22"/>
      <w:lang w:eastAsia="ja-JP"/>
    </w:rPr>
  </w:style>
  <w:style w:type="paragraph" w:styleId="31">
    <w:name w:val="Body Text 3"/>
    <w:basedOn w:val="ab"/>
    <w:pPr>
      <w:keepLines w:val="0"/>
      <w:spacing w:after="120"/>
      <w:ind w:left="283"/>
    </w:pPr>
    <w:rPr>
      <w:sz w:val="20"/>
    </w:rPr>
  </w:style>
  <w:style w:type="paragraph" w:styleId="ac">
    <w:name w:val="header"/>
    <w:basedOn w:val="a0"/>
    <w:pPr>
      <w:tabs>
        <w:tab w:val="center" w:pos="4153"/>
        <w:tab w:val="right" w:pos="8306"/>
      </w:tabs>
    </w:pPr>
    <w:rPr>
      <w:rFonts w:eastAsia="ＭＳ 明朝"/>
      <w:sz w:val="22"/>
      <w:szCs w:val="22"/>
      <w:lang w:eastAsia="ja-JP"/>
    </w:rPr>
  </w:style>
  <w:style w:type="character" w:styleId="ad">
    <w:name w:val="annotation reference"/>
    <w:uiPriority w:val="99"/>
    <w:rPr>
      <w:sz w:val="16"/>
    </w:rPr>
  </w:style>
  <w:style w:type="paragraph" w:styleId="ae">
    <w:name w:val="annotation text"/>
    <w:basedOn w:val="a0"/>
    <w:link w:val="af"/>
    <w:uiPriority w:val="99"/>
    <w:semiHidden/>
    <w:rPr>
      <w:rFonts w:eastAsia="ＭＳ 明朝"/>
      <w:sz w:val="22"/>
      <w:szCs w:val="22"/>
      <w:lang w:eastAsia="ja-JP"/>
    </w:rPr>
  </w:style>
  <w:style w:type="character" w:customStyle="1" w:styleId="EquationCaption">
    <w:name w:val="_Equation Caption"/>
  </w:style>
  <w:style w:type="paragraph" w:styleId="10">
    <w:name w:val="toc 1"/>
    <w:basedOn w:val="a0"/>
    <w:next w:val="a0"/>
    <w:autoRedefine/>
    <w:uiPriority w:val="39"/>
    <w:rsid w:val="00667C97"/>
    <w:pPr>
      <w:tabs>
        <w:tab w:val="left" w:pos="284"/>
        <w:tab w:val="right" w:leader="dot" w:pos="9016"/>
      </w:tabs>
      <w:spacing w:before="240"/>
      <w:ind w:left="284" w:hanging="284"/>
    </w:pPr>
    <w:rPr>
      <w:rFonts w:eastAsia="ＭＳ 明朝"/>
      <w:noProof/>
      <w:sz w:val="22"/>
      <w:szCs w:val="22"/>
      <w:lang w:eastAsia="ja-JP"/>
    </w:rPr>
  </w:style>
  <w:style w:type="paragraph" w:customStyle="1" w:styleId="AnnalshdgA">
    <w:name w:val="Annals hdg A"/>
    <w:basedOn w:val="1"/>
    <w:rsid w:val="00F7380E"/>
    <w:pPr>
      <w:tabs>
        <w:tab w:val="num" w:pos="8730"/>
      </w:tabs>
      <w:spacing w:after="240"/>
      <w:ind w:left="360" w:hanging="360"/>
      <w:jc w:val="center"/>
    </w:pPr>
    <w:rPr>
      <w:rFonts w:ascii="Times New Roman" w:hAnsi="Times New Roman"/>
      <w:caps/>
    </w:rPr>
  </w:style>
  <w:style w:type="paragraph" w:customStyle="1" w:styleId="AnnalshdgB">
    <w:name w:val="Annals hdg B"/>
    <w:basedOn w:val="2"/>
    <w:rsid w:val="00D0194D"/>
    <w:pPr>
      <w:numPr>
        <w:ilvl w:val="1"/>
        <w:numId w:val="4"/>
      </w:numPr>
      <w:tabs>
        <w:tab w:val="left" w:pos="770"/>
      </w:tabs>
      <w:spacing w:before="480"/>
    </w:pPr>
    <w:rPr>
      <w:i/>
    </w:rPr>
  </w:style>
  <w:style w:type="paragraph" w:customStyle="1" w:styleId="Annalstext">
    <w:name w:val="Annals text"/>
    <w:basedOn w:val="a0"/>
    <w:pPr>
      <w:tabs>
        <w:tab w:val="left" w:pos="851"/>
      </w:tabs>
      <w:jc w:val="both"/>
    </w:pPr>
    <w:rPr>
      <w:rFonts w:eastAsia="ＭＳ 明朝"/>
      <w:szCs w:val="22"/>
      <w:lang w:eastAsia="ja-JP"/>
    </w:rPr>
  </w:style>
  <w:style w:type="paragraph" w:customStyle="1" w:styleId="Annalsrefs">
    <w:name w:val="Annals refs"/>
    <w:basedOn w:val="a0"/>
    <w:pPr>
      <w:ind w:left="284" w:hanging="284"/>
    </w:pPr>
    <w:rPr>
      <w:rFonts w:eastAsia="ＭＳ 明朝"/>
      <w:sz w:val="22"/>
      <w:szCs w:val="22"/>
      <w:lang w:eastAsia="ja-JP"/>
    </w:rPr>
  </w:style>
  <w:style w:type="paragraph" w:customStyle="1" w:styleId="Annsp53TopRHC">
    <w:name w:val="Ann sp 53 Top RHC"/>
    <w:basedOn w:val="a0"/>
    <w:pPr>
      <w:jc w:val="right"/>
    </w:pPr>
    <w:rPr>
      <w:rFonts w:eastAsia="ＭＳ 明朝"/>
      <w:sz w:val="22"/>
      <w:szCs w:val="22"/>
      <w:lang w:eastAsia="ja-JP"/>
    </w:rPr>
  </w:style>
  <w:style w:type="paragraph" w:customStyle="1" w:styleId="Annsp53hdB">
    <w:name w:val="Ann sp 53 hdB"/>
    <w:basedOn w:val="AnnalshdgB"/>
    <w:pPr>
      <w:numPr>
        <w:numId w:val="5"/>
      </w:numPr>
      <w:spacing w:after="0"/>
    </w:pPr>
    <w:rPr>
      <w:caps/>
    </w:rPr>
  </w:style>
  <w:style w:type="paragraph" w:customStyle="1" w:styleId="Annsp53nucl">
    <w:name w:val="Ann sp 53 nucl"/>
    <w:basedOn w:val="a0"/>
    <w:pPr>
      <w:spacing w:after="240"/>
      <w:jc w:val="center"/>
    </w:pPr>
    <w:rPr>
      <w:rFonts w:eastAsia="ＭＳ 明朝"/>
      <w:b/>
      <w:sz w:val="22"/>
      <w:szCs w:val="22"/>
      <w:lang w:eastAsia="ja-JP"/>
    </w:rPr>
  </w:style>
  <w:style w:type="paragraph" w:customStyle="1" w:styleId="AnnalshdgC">
    <w:name w:val="Annals hdg C"/>
    <w:basedOn w:val="a0"/>
    <w:pPr>
      <w:numPr>
        <w:ilvl w:val="2"/>
        <w:numId w:val="4"/>
      </w:numPr>
      <w:spacing w:before="240" w:after="240"/>
    </w:pPr>
    <w:rPr>
      <w:rFonts w:eastAsia="ＭＳ 明朝"/>
      <w:b/>
      <w:szCs w:val="22"/>
      <w:lang w:eastAsia="ja-JP"/>
    </w:rPr>
  </w:style>
  <w:style w:type="paragraph" w:customStyle="1" w:styleId="Annsp53hdC">
    <w:name w:val="Ann sp 53 hdC"/>
    <w:basedOn w:val="AnnalshdgC"/>
    <w:pPr>
      <w:numPr>
        <w:ilvl w:val="0"/>
        <w:numId w:val="0"/>
      </w:numPr>
    </w:pPr>
    <w:rPr>
      <w:b w:val="0"/>
      <w:i/>
    </w:rPr>
  </w:style>
  <w:style w:type="paragraph" w:customStyle="1" w:styleId="Annsp53hdD">
    <w:name w:val="Ann sp 53 hdD"/>
    <w:basedOn w:val="Annsp53hdC"/>
    <w:pPr>
      <w:numPr>
        <w:ilvl w:val="3"/>
        <w:numId w:val="5"/>
      </w:numPr>
    </w:pPr>
    <w:rPr>
      <w:b/>
      <w:i w:val="0"/>
    </w:rPr>
  </w:style>
  <w:style w:type="paragraph" w:customStyle="1" w:styleId="Annaddtxt">
    <w:name w:val="Ann add txt"/>
    <w:basedOn w:val="a0"/>
    <w:pPr>
      <w:numPr>
        <w:ilvl w:val="3"/>
        <w:numId w:val="6"/>
      </w:numPr>
      <w:tabs>
        <w:tab w:val="left" w:pos="646"/>
      </w:tabs>
      <w:jc w:val="both"/>
    </w:pPr>
    <w:rPr>
      <w:rFonts w:eastAsia="ＭＳ 明朝"/>
      <w:sz w:val="22"/>
      <w:szCs w:val="22"/>
      <w:lang w:eastAsia="ja-JP"/>
    </w:rPr>
  </w:style>
  <w:style w:type="paragraph" w:styleId="21">
    <w:name w:val="toc 2"/>
    <w:basedOn w:val="a0"/>
    <w:next w:val="a0"/>
    <w:autoRedefine/>
    <w:uiPriority w:val="39"/>
    <w:rsid w:val="00C9053B"/>
    <w:pPr>
      <w:tabs>
        <w:tab w:val="right" w:pos="851"/>
        <w:tab w:val="right" w:leader="dot" w:pos="9016"/>
      </w:tabs>
      <w:ind w:left="238"/>
      <w:jc w:val="right"/>
    </w:pPr>
    <w:rPr>
      <w:rFonts w:eastAsia="ＭＳ 明朝"/>
      <w:sz w:val="22"/>
      <w:szCs w:val="22"/>
      <w:lang w:eastAsia="ja-JP"/>
    </w:rPr>
  </w:style>
  <w:style w:type="paragraph" w:styleId="32">
    <w:name w:val="toc 3"/>
    <w:basedOn w:val="a0"/>
    <w:next w:val="a0"/>
    <w:autoRedefine/>
    <w:uiPriority w:val="39"/>
    <w:rsid w:val="004311F7"/>
    <w:pPr>
      <w:tabs>
        <w:tab w:val="left" w:pos="1200"/>
        <w:tab w:val="right" w:leader="dot" w:pos="9016"/>
      </w:tabs>
      <w:ind w:left="480"/>
    </w:pPr>
    <w:rPr>
      <w:rFonts w:eastAsia="ＭＳ 明朝"/>
      <w:sz w:val="22"/>
      <w:szCs w:val="22"/>
      <w:lang w:eastAsia="ja-JP"/>
    </w:rPr>
  </w:style>
  <w:style w:type="paragraph" w:styleId="40">
    <w:name w:val="toc 4"/>
    <w:basedOn w:val="a0"/>
    <w:next w:val="a0"/>
    <w:autoRedefine/>
    <w:pPr>
      <w:ind w:left="720"/>
    </w:pPr>
    <w:rPr>
      <w:rFonts w:eastAsia="ＭＳ 明朝"/>
      <w:sz w:val="22"/>
      <w:szCs w:val="22"/>
      <w:lang w:eastAsia="ja-JP"/>
    </w:rPr>
  </w:style>
  <w:style w:type="paragraph" w:styleId="50">
    <w:name w:val="toc 5"/>
    <w:basedOn w:val="a0"/>
    <w:next w:val="a0"/>
    <w:autoRedefine/>
    <w:semiHidden/>
    <w:pPr>
      <w:ind w:left="960"/>
    </w:pPr>
    <w:rPr>
      <w:rFonts w:eastAsia="ＭＳ 明朝"/>
      <w:sz w:val="22"/>
      <w:szCs w:val="22"/>
      <w:lang w:eastAsia="ja-JP"/>
    </w:rPr>
  </w:style>
  <w:style w:type="paragraph" w:styleId="60">
    <w:name w:val="toc 6"/>
    <w:basedOn w:val="a0"/>
    <w:next w:val="a0"/>
    <w:autoRedefine/>
    <w:semiHidden/>
    <w:pPr>
      <w:ind w:left="1200"/>
    </w:pPr>
    <w:rPr>
      <w:rFonts w:eastAsia="ＭＳ 明朝"/>
      <w:sz w:val="22"/>
      <w:szCs w:val="22"/>
      <w:lang w:eastAsia="ja-JP"/>
    </w:rPr>
  </w:style>
  <w:style w:type="paragraph" w:styleId="70">
    <w:name w:val="toc 7"/>
    <w:basedOn w:val="a0"/>
    <w:next w:val="a0"/>
    <w:autoRedefine/>
    <w:semiHidden/>
    <w:pPr>
      <w:ind w:left="1440"/>
    </w:pPr>
    <w:rPr>
      <w:rFonts w:eastAsia="ＭＳ 明朝"/>
      <w:sz w:val="22"/>
      <w:szCs w:val="22"/>
      <w:lang w:eastAsia="ja-JP"/>
    </w:rPr>
  </w:style>
  <w:style w:type="paragraph" w:styleId="80">
    <w:name w:val="toc 8"/>
    <w:basedOn w:val="a0"/>
    <w:next w:val="a0"/>
    <w:autoRedefine/>
    <w:semiHidden/>
    <w:pPr>
      <w:ind w:left="1680"/>
    </w:pPr>
    <w:rPr>
      <w:rFonts w:eastAsia="ＭＳ 明朝"/>
      <w:sz w:val="22"/>
      <w:szCs w:val="22"/>
      <w:lang w:eastAsia="ja-JP"/>
    </w:rPr>
  </w:style>
  <w:style w:type="paragraph" w:styleId="90">
    <w:name w:val="toc 9"/>
    <w:basedOn w:val="a0"/>
    <w:next w:val="a0"/>
    <w:autoRedefine/>
    <w:semiHidden/>
    <w:pPr>
      <w:ind w:left="1920"/>
    </w:pPr>
    <w:rPr>
      <w:rFonts w:eastAsia="ＭＳ 明朝"/>
      <w:sz w:val="22"/>
      <w:szCs w:val="22"/>
      <w:lang w:eastAsia="ja-JP"/>
    </w:rPr>
  </w:style>
  <w:style w:type="paragraph" w:customStyle="1" w:styleId="Anaddtxt">
    <w:name w:val="An add txt"/>
    <w:basedOn w:val="Annalstext"/>
    <w:pPr>
      <w:numPr>
        <w:numId w:val="2"/>
      </w:numPr>
    </w:pPr>
  </w:style>
  <w:style w:type="character" w:customStyle="1" w:styleId="FootnoteReference1">
    <w:name w:val="Footnote Reference1"/>
    <w:rPr>
      <w:sz w:val="20"/>
    </w:rPr>
  </w:style>
  <w:style w:type="paragraph" w:customStyle="1" w:styleId="FootnoteText1">
    <w:name w:val="Footnote Text1"/>
    <w:basedOn w:val="a0"/>
    <w:pPr>
      <w:widowControl w:val="0"/>
    </w:pPr>
    <w:rPr>
      <w:rFonts w:eastAsia="ＭＳ 明朝"/>
      <w:snapToGrid w:val="0"/>
      <w:sz w:val="20"/>
      <w:szCs w:val="22"/>
      <w:lang w:eastAsia="ja-JP"/>
    </w:rPr>
  </w:style>
  <w:style w:type="character" w:styleId="af0">
    <w:name w:val="line number"/>
    <w:rPr>
      <w:sz w:val="20"/>
    </w:rPr>
  </w:style>
  <w:style w:type="paragraph" w:customStyle="1" w:styleId="Annexsumtxt">
    <w:name w:val="Ann exsum txt"/>
    <w:basedOn w:val="Annalstext"/>
    <w:pPr>
      <w:numPr>
        <w:numId w:val="3"/>
      </w:numPr>
      <w:tabs>
        <w:tab w:val="clear" w:pos="644"/>
        <w:tab w:val="num" w:pos="360"/>
      </w:tabs>
    </w:pPr>
  </w:style>
  <w:style w:type="paragraph" w:customStyle="1" w:styleId="Standard">
    <w:name w:val="Standard"/>
    <w:pPr>
      <w:widowControl w:val="0"/>
    </w:pPr>
    <w:rPr>
      <w:rFonts w:ascii="Arial" w:hAnsi="Arial"/>
      <w:sz w:val="22"/>
      <w:lang w:val="de-DE" w:eastAsia="sv-SE"/>
    </w:rPr>
  </w:style>
  <w:style w:type="paragraph" w:customStyle="1" w:styleId="AnnAnxhdA">
    <w:name w:val="Ann Anx hd A"/>
    <w:basedOn w:val="AnnalshdgA"/>
    <w:pPr>
      <w:numPr>
        <w:numId w:val="6"/>
      </w:numPr>
    </w:pPr>
  </w:style>
  <w:style w:type="paragraph" w:customStyle="1" w:styleId="AnnalsAnxhdB">
    <w:name w:val="Annals Anx hd B"/>
    <w:basedOn w:val="AnnalshdgB"/>
    <w:pPr>
      <w:numPr>
        <w:numId w:val="6"/>
      </w:numPr>
    </w:pPr>
  </w:style>
  <w:style w:type="paragraph" w:customStyle="1" w:styleId="AnnalsAnxhdC">
    <w:name w:val="Annals Anx hd C"/>
    <w:basedOn w:val="AnnalshdgC"/>
    <w:pPr>
      <w:numPr>
        <w:numId w:val="6"/>
      </w:numPr>
    </w:pPr>
  </w:style>
  <w:style w:type="paragraph" w:customStyle="1" w:styleId="AnnalshdgD">
    <w:name w:val="Annals hdg D"/>
    <w:basedOn w:val="Annalstext"/>
    <w:rsid w:val="00165C15"/>
    <w:pPr>
      <w:keepNext/>
      <w:spacing w:before="240" w:afterLines="100" w:after="100"/>
    </w:pPr>
    <w:rPr>
      <w:i/>
      <w:iCs/>
    </w:rPr>
  </w:style>
  <w:style w:type="paragraph" w:customStyle="1" w:styleId="TableFootnote">
    <w:name w:val="Table Footnote"/>
    <w:basedOn w:val="aa"/>
    <w:pPr>
      <w:widowControl w:val="0"/>
      <w:spacing w:before="120" w:line="240" w:lineRule="auto"/>
      <w:jc w:val="both"/>
    </w:pPr>
    <w:rPr>
      <w:i/>
      <w:snapToGrid w:val="0"/>
      <w:color w:val="auto"/>
      <w:sz w:val="18"/>
      <w:lang w:val="en-GB"/>
    </w:rPr>
  </w:style>
  <w:style w:type="paragraph" w:customStyle="1" w:styleId="Normal0">
    <w:name w:val="Normal 0"/>
    <w:basedOn w:val="ac"/>
    <w:pPr>
      <w:widowControl w:val="0"/>
      <w:tabs>
        <w:tab w:val="clear" w:pos="4153"/>
        <w:tab w:val="clear" w:pos="8306"/>
        <w:tab w:val="center" w:pos="4320"/>
        <w:tab w:val="right" w:pos="9356"/>
      </w:tabs>
      <w:spacing w:after="120"/>
      <w:ind w:left="397" w:hanging="397"/>
      <w:jc w:val="both"/>
    </w:pPr>
    <w:rPr>
      <w:snapToGrid w:val="0"/>
    </w:rPr>
  </w:style>
  <w:style w:type="character" w:styleId="af1">
    <w:name w:val="Hyperlink"/>
    <w:uiPriority w:val="99"/>
    <w:rPr>
      <w:color w:val="000000"/>
      <w:u w:val="single"/>
    </w:rPr>
  </w:style>
  <w:style w:type="table" w:styleId="af2">
    <w:name w:val="Table Grid"/>
    <w:basedOn w:val="a2"/>
    <w:uiPriority w:val="3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lossaryHeadChar">
    <w:name w:val="Glossary Head Char"/>
    <w:basedOn w:val="a0"/>
    <w:link w:val="GlossaryHeadCharChar"/>
    <w:pPr>
      <w:overflowPunct w:val="0"/>
      <w:autoSpaceDE w:val="0"/>
      <w:autoSpaceDN w:val="0"/>
      <w:adjustRightInd w:val="0"/>
      <w:spacing w:before="240" w:after="60"/>
      <w:textAlignment w:val="baseline"/>
    </w:pPr>
    <w:rPr>
      <w:rFonts w:eastAsia="ＭＳ 明朝"/>
      <w:snapToGrid w:val="0"/>
      <w:lang w:eastAsia="en-US"/>
    </w:rPr>
  </w:style>
  <w:style w:type="paragraph" w:customStyle="1" w:styleId="GlossaryBodyChar">
    <w:name w:val="Glossary Body Char"/>
    <w:basedOn w:val="a0"/>
    <w:link w:val="GlossaryBodyCharChar"/>
    <w:pPr>
      <w:overflowPunct w:val="0"/>
      <w:autoSpaceDE w:val="0"/>
      <w:autoSpaceDN w:val="0"/>
      <w:adjustRightInd w:val="0"/>
      <w:spacing w:after="120"/>
      <w:ind w:left="737"/>
      <w:jc w:val="both"/>
      <w:textAlignment w:val="baseline"/>
    </w:pPr>
    <w:rPr>
      <w:rFonts w:eastAsia="ＭＳ 明朝"/>
      <w:snapToGrid w:val="0"/>
      <w:lang w:eastAsia="en-US"/>
    </w:rPr>
  </w:style>
  <w:style w:type="character" w:customStyle="1" w:styleId="GlossaryBodyCharChar">
    <w:name w:val="Glossary Body Char Char"/>
    <w:link w:val="GlossaryBodyChar"/>
    <w:rPr>
      <w:snapToGrid w:val="0"/>
      <w:sz w:val="24"/>
      <w:szCs w:val="24"/>
      <w:lang w:val="en-GB" w:eastAsia="en-US"/>
    </w:rPr>
  </w:style>
  <w:style w:type="character" w:customStyle="1" w:styleId="GlossaryHeadCharChar">
    <w:name w:val="Glossary Head Char Char"/>
    <w:link w:val="GlossaryHeadChar"/>
    <w:rPr>
      <w:snapToGrid w:val="0"/>
      <w:sz w:val="24"/>
      <w:szCs w:val="24"/>
      <w:lang w:val="en-GB" w:eastAsia="en-US"/>
    </w:rPr>
  </w:style>
  <w:style w:type="paragraph" w:styleId="af3">
    <w:name w:val="Balloon Text"/>
    <w:basedOn w:val="a0"/>
    <w:link w:val="af4"/>
    <w:rPr>
      <w:rFonts w:ascii="Tahoma" w:eastAsia="ＭＳ 明朝" w:hAnsi="Tahoma" w:cs="Tahoma"/>
      <w:sz w:val="16"/>
      <w:szCs w:val="16"/>
      <w:lang w:eastAsia="ja-JP"/>
    </w:rPr>
  </w:style>
  <w:style w:type="character" w:customStyle="1" w:styleId="af4">
    <w:name w:val="吹き出し (文字)"/>
    <w:link w:val="af3"/>
    <w:rPr>
      <w:rFonts w:ascii="Tahoma" w:eastAsia="游明朝" w:hAnsi="Tahoma" w:cs="Tahoma"/>
      <w:sz w:val="16"/>
      <w:szCs w:val="16"/>
      <w:lang w:val="en-GB"/>
    </w:rPr>
  </w:style>
  <w:style w:type="character" w:styleId="HTML">
    <w:name w:val="HTML Cite"/>
    <w:uiPriority w:val="99"/>
    <w:unhideWhenUsed/>
    <w:rPr>
      <w:i/>
      <w:iCs/>
    </w:rPr>
  </w:style>
  <w:style w:type="character" w:styleId="af5">
    <w:name w:val="FollowedHyperlink"/>
    <w:rPr>
      <w:color w:val="800080"/>
      <w:u w:val="single"/>
    </w:rPr>
  </w:style>
  <w:style w:type="paragraph" w:styleId="af6">
    <w:name w:val="annotation subject"/>
    <w:basedOn w:val="ae"/>
    <w:next w:val="ae"/>
    <w:link w:val="af7"/>
    <w:rPr>
      <w:b/>
      <w:bCs/>
      <w:sz w:val="20"/>
    </w:rPr>
  </w:style>
  <w:style w:type="character" w:customStyle="1" w:styleId="af">
    <w:name w:val="コメント文字列 (文字)"/>
    <w:link w:val="ae"/>
    <w:uiPriority w:val="99"/>
    <w:semiHidden/>
    <w:rPr>
      <w:rFonts w:eastAsia="游明朝"/>
      <w:sz w:val="22"/>
      <w:szCs w:val="22"/>
      <w:lang w:val="en-GB"/>
    </w:rPr>
  </w:style>
  <w:style w:type="character" w:customStyle="1" w:styleId="af7">
    <w:name w:val="コメント内容 (文字)"/>
    <w:link w:val="af6"/>
    <w:rPr>
      <w:rFonts w:eastAsia="游明朝"/>
      <w:b/>
      <w:bCs/>
      <w:szCs w:val="22"/>
      <w:lang w:val="en-GB"/>
    </w:rPr>
  </w:style>
  <w:style w:type="paragraph" w:customStyle="1" w:styleId="121">
    <w:name w:val="表 (緑) 121"/>
    <w:basedOn w:val="a0"/>
    <w:uiPriority w:val="34"/>
    <w:qFormat/>
    <w:pPr>
      <w:ind w:left="720"/>
    </w:pPr>
    <w:rPr>
      <w:rFonts w:ascii="Calibri" w:eastAsia="PMingLiU" w:hAnsi="Calibri"/>
      <w:sz w:val="22"/>
      <w:szCs w:val="22"/>
      <w:lang w:val="en-CA" w:eastAsia="en-US"/>
    </w:rPr>
  </w:style>
  <w:style w:type="paragraph" w:styleId="Web">
    <w:name w:val="Normal (Web)"/>
    <w:basedOn w:val="a0"/>
    <w:uiPriority w:val="99"/>
    <w:unhideWhenUsed/>
    <w:pPr>
      <w:spacing w:before="100" w:beforeAutospacing="1" w:after="100" w:afterAutospacing="1"/>
    </w:pPr>
    <w:rPr>
      <w:lang w:val="sv-SE" w:eastAsia="sv-SE"/>
    </w:rPr>
  </w:style>
  <w:style w:type="paragraph" w:customStyle="1" w:styleId="Legend">
    <w:name w:val="Legend"/>
    <w:basedOn w:val="af8"/>
    <w:link w:val="LegendCar"/>
    <w:qFormat/>
    <w:pPr>
      <w:spacing w:after="200"/>
      <w:jc w:val="center"/>
    </w:pPr>
    <w:rPr>
      <w:rFonts w:ascii="Arial" w:hAnsi="Arial" w:cs="Arial"/>
      <w:i/>
      <w:sz w:val="20"/>
      <w:szCs w:val="20"/>
      <w:lang w:val="en-US" w:eastAsia="en-US"/>
    </w:rPr>
  </w:style>
  <w:style w:type="character" w:customStyle="1" w:styleId="LegendCar">
    <w:name w:val="Legend Car"/>
    <w:link w:val="Legend"/>
    <w:rPr>
      <w:rFonts w:ascii="Arial" w:eastAsia="ＭＳ 明朝" w:hAnsi="Arial" w:cs="Arial"/>
      <w:b/>
      <w:bCs/>
      <w:i/>
      <w:lang w:eastAsia="en-US"/>
    </w:rPr>
  </w:style>
  <w:style w:type="paragraph" w:styleId="af8">
    <w:name w:val="caption"/>
    <w:basedOn w:val="a0"/>
    <w:next w:val="a0"/>
    <w:link w:val="af9"/>
    <w:qFormat/>
    <w:rPr>
      <w:rFonts w:eastAsia="ＭＳ 明朝"/>
      <w:b/>
      <w:bCs/>
      <w:sz w:val="21"/>
      <w:szCs w:val="21"/>
      <w:lang w:eastAsia="ja-JP"/>
    </w:rPr>
  </w:style>
  <w:style w:type="character" w:customStyle="1" w:styleId="30">
    <w:name w:val="見出し 3 (文字)"/>
    <w:link w:val="3"/>
    <w:rPr>
      <w:rFonts w:ascii="Arial" w:hAnsi="Arial"/>
      <w:sz w:val="22"/>
      <w:szCs w:val="22"/>
      <w:lang w:val="en-GB"/>
    </w:rPr>
  </w:style>
  <w:style w:type="character" w:customStyle="1" w:styleId="af9">
    <w:name w:val="図表番号 (文字)"/>
    <w:link w:val="af8"/>
    <w:rPr>
      <w:b/>
      <w:bCs/>
      <w:snapToGrid w:val="0"/>
      <w:sz w:val="21"/>
      <w:szCs w:val="21"/>
      <w:lang w:val="en-GB" w:eastAsia="sv-SE"/>
    </w:rPr>
  </w:style>
  <w:style w:type="paragraph" w:customStyle="1" w:styleId="71">
    <w:name w:val="表 (赤)  71"/>
    <w:hidden/>
    <w:uiPriority w:val="99"/>
    <w:semiHidden/>
    <w:rPr>
      <w:snapToGrid w:val="0"/>
      <w:sz w:val="24"/>
      <w:lang w:val="en-GB" w:eastAsia="sv-SE"/>
    </w:rPr>
  </w:style>
  <w:style w:type="paragraph" w:customStyle="1" w:styleId="131">
    <w:name w:val="表 (青) 131"/>
    <w:basedOn w:val="a0"/>
    <w:uiPriority w:val="34"/>
    <w:qFormat/>
    <w:pPr>
      <w:ind w:leftChars="400" w:left="960"/>
    </w:pPr>
    <w:rPr>
      <w:rFonts w:ascii="ＭＳ Ｐゴシック" w:eastAsia="ＭＳ Ｐゴシック" w:hAnsi="ＭＳ Ｐゴシック" w:cs="ＭＳ Ｐゴシック"/>
      <w:sz w:val="22"/>
      <w:lang w:val="en-US" w:eastAsia="ja-JP"/>
    </w:rPr>
  </w:style>
  <w:style w:type="paragraph" w:styleId="HTML0">
    <w:name w:val="HTML Preformatted"/>
    <w:basedOn w:val="a0"/>
    <w:link w:val="HTML1"/>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2"/>
    </w:rPr>
  </w:style>
  <w:style w:type="character" w:customStyle="1" w:styleId="HTML1">
    <w:name w:val="HTML 書式付き (文字)"/>
    <w:link w:val="HTML0"/>
    <w:uiPriority w:val="99"/>
    <w:rPr>
      <w:rFonts w:ascii="Courier New" w:eastAsia="Times New Roman" w:hAnsi="Courier New" w:cs="Courier New"/>
    </w:rPr>
  </w:style>
  <w:style w:type="paragraph" w:styleId="afa">
    <w:name w:val="List Paragraph"/>
    <w:aliases w:val="List Paragraph (don't use)"/>
    <w:basedOn w:val="a0"/>
    <w:uiPriority w:val="34"/>
    <w:qFormat/>
    <w:pPr>
      <w:ind w:left="720"/>
    </w:pPr>
    <w:rPr>
      <w:rFonts w:ascii="Calibri" w:eastAsia="PMingLiU" w:hAnsi="Calibri"/>
      <w:snapToGrid w:val="0"/>
      <w:sz w:val="22"/>
      <w:szCs w:val="22"/>
      <w:lang w:val="en-CA" w:eastAsia="en-US"/>
    </w:rPr>
  </w:style>
  <w:style w:type="paragraph" w:styleId="afb">
    <w:name w:val="Revision"/>
    <w:hidden/>
    <w:uiPriority w:val="99"/>
    <w:semiHidden/>
    <w:rPr>
      <w:snapToGrid w:val="0"/>
      <w:sz w:val="24"/>
      <w:lang w:val="en-GB" w:eastAsia="sv-SE"/>
    </w:rPr>
  </w:style>
  <w:style w:type="character" w:customStyle="1" w:styleId="apple-converted-space">
    <w:name w:val="apple-converted-space"/>
  </w:style>
  <w:style w:type="paragraph" w:customStyle="1" w:styleId="bibliographytext">
    <w:name w:val="bibliography text"/>
    <w:basedOn w:val="a0"/>
    <w:rPr>
      <w:rFonts w:ascii="TimesTen-Roman" w:hAnsi="TimesTen-Roman"/>
      <w:snapToGrid w:val="0"/>
      <w:sz w:val="18"/>
      <w:szCs w:val="22"/>
      <w:lang w:eastAsia="en-GB"/>
    </w:rPr>
  </w:style>
  <w:style w:type="paragraph" w:customStyle="1" w:styleId="Default">
    <w:name w:val="Default"/>
    <w:pPr>
      <w:autoSpaceDE w:val="0"/>
      <w:autoSpaceDN w:val="0"/>
      <w:adjustRightInd w:val="0"/>
    </w:pPr>
    <w:rPr>
      <w:color w:val="000000"/>
      <w:sz w:val="24"/>
      <w:szCs w:val="24"/>
      <w:lang w:val="sv-SE" w:eastAsia="sv-SE"/>
    </w:rPr>
  </w:style>
  <w:style w:type="paragraph" w:customStyle="1" w:styleId="desc">
    <w:name w:val="desc"/>
    <w:basedOn w:val="a0"/>
    <w:pPr>
      <w:spacing w:before="100" w:beforeAutospacing="1" w:after="100" w:afterAutospacing="1"/>
    </w:pPr>
    <w:rPr>
      <w:lang w:eastAsia="en-GB"/>
    </w:rPr>
  </w:style>
  <w:style w:type="paragraph" w:customStyle="1" w:styleId="details">
    <w:name w:val="details"/>
    <w:basedOn w:val="a0"/>
    <w:pPr>
      <w:spacing w:before="100" w:beforeAutospacing="1" w:after="100" w:afterAutospacing="1"/>
    </w:pPr>
    <w:rPr>
      <w:lang w:eastAsia="en-GB"/>
    </w:rPr>
  </w:style>
  <w:style w:type="paragraph" w:customStyle="1" w:styleId="EndNoteBibliography">
    <w:name w:val="EndNote Bibliography"/>
    <w:basedOn w:val="a0"/>
    <w:link w:val="EndNoteBibliographyChar"/>
    <w:rPr>
      <w:rFonts w:eastAsia="Calibri"/>
      <w:noProof/>
      <w:snapToGrid w:val="0"/>
      <w:sz w:val="22"/>
      <w:lang w:eastAsia="en-GB"/>
    </w:rPr>
  </w:style>
  <w:style w:type="character" w:customStyle="1" w:styleId="EndNoteBibliographyChar">
    <w:name w:val="EndNote Bibliography Char"/>
    <w:link w:val="EndNoteBibliography"/>
    <w:rPr>
      <w:rFonts w:eastAsia="Calibri"/>
      <w:noProof/>
      <w:snapToGrid w:val="0"/>
      <w:sz w:val="22"/>
      <w:szCs w:val="24"/>
      <w:lang w:val="en-GB" w:eastAsia="en-GB"/>
    </w:rPr>
  </w:style>
  <w:style w:type="character" w:customStyle="1" w:styleId="EndNoteBibliographyZchn">
    <w:name w:val="EndNote Bibliography Zchn"/>
    <w:rPr>
      <w:noProof/>
      <w:sz w:val="24"/>
      <w:szCs w:val="24"/>
    </w:rPr>
  </w:style>
  <w:style w:type="paragraph" w:customStyle="1" w:styleId="Equation">
    <w:name w:val="Equation"/>
    <w:basedOn w:val="a0"/>
    <w:pPr>
      <w:tabs>
        <w:tab w:val="center" w:pos="4320"/>
        <w:tab w:val="center" w:pos="8640"/>
      </w:tabs>
      <w:ind w:firstLine="567"/>
    </w:pPr>
    <w:rPr>
      <w:rFonts w:eastAsia="Batang"/>
      <w:snapToGrid w:val="0"/>
      <w:sz w:val="22"/>
      <w:lang w:eastAsia="ko-KR"/>
    </w:rPr>
  </w:style>
  <w:style w:type="character" w:customStyle="1" w:styleId="jrnl">
    <w:name w:val="jrnl"/>
  </w:style>
  <w:style w:type="paragraph" w:customStyle="1" w:styleId="Rubrik1">
    <w:name w:val="Rubrik1"/>
    <w:basedOn w:val="a0"/>
    <w:pPr>
      <w:spacing w:before="100" w:beforeAutospacing="1" w:after="100" w:afterAutospacing="1"/>
    </w:pPr>
    <w:rPr>
      <w:lang w:eastAsia="en-GB"/>
    </w:rPr>
  </w:style>
  <w:style w:type="character" w:customStyle="1" w:styleId="SC3249869">
    <w:name w:val="SC.3.249869"/>
    <w:uiPriority w:val="99"/>
    <w:rPr>
      <w:color w:val="000000"/>
      <w:sz w:val="18"/>
      <w:szCs w:val="18"/>
    </w:rPr>
  </w:style>
  <w:style w:type="paragraph" w:customStyle="1" w:styleId="Standard1">
    <w:name w:val="Standard1"/>
    <w:pPr>
      <w:widowControl w:val="0"/>
    </w:pPr>
    <w:rPr>
      <w:rFonts w:ascii="Arial" w:hAnsi="Arial"/>
      <w:sz w:val="22"/>
      <w:szCs w:val="22"/>
      <w:lang w:val="de-DE" w:eastAsia="sv-SE"/>
    </w:rPr>
  </w:style>
  <w:style w:type="paragraph" w:customStyle="1" w:styleId="Tablebodytext">
    <w:name w:val="Table body text"/>
    <w:basedOn w:val="a0"/>
    <w:autoRedefine/>
    <w:pPr>
      <w:jc w:val="both"/>
    </w:pPr>
    <w:rPr>
      <w:rFonts w:ascii="TimesTen-Roman" w:hAnsi="TimesTen-Roman" w:cs="TimesTen-Roman"/>
      <w:snapToGrid w:val="0"/>
      <w:sz w:val="18"/>
      <w:szCs w:val="18"/>
      <w:lang w:eastAsia="en-GB"/>
    </w:rPr>
  </w:style>
  <w:style w:type="paragraph" w:customStyle="1" w:styleId="TableHeader">
    <w:name w:val="Table Header"/>
    <w:basedOn w:val="a0"/>
    <w:autoRedefine/>
    <w:pPr>
      <w:jc w:val="both"/>
    </w:pPr>
    <w:rPr>
      <w:caps/>
      <w:snapToGrid w:val="0"/>
      <w:sz w:val="20"/>
      <w:szCs w:val="22"/>
      <w:lang w:eastAsia="en-GB"/>
    </w:rPr>
  </w:style>
  <w:style w:type="character" w:customStyle="1" w:styleId="TextedebullesCar">
    <w:name w:val="Texte de bulles Car"/>
    <w:uiPriority w:val="99"/>
    <w:semiHidden/>
    <w:rPr>
      <w:rFonts w:ascii="Lucida Grande" w:hAnsi="Lucida Grande"/>
      <w:sz w:val="18"/>
      <w:szCs w:val="18"/>
    </w:rPr>
  </w:style>
  <w:style w:type="character" w:customStyle="1" w:styleId="textitemblock">
    <w:name w:val="textitemblock"/>
  </w:style>
  <w:style w:type="character" w:styleId="afc">
    <w:name w:val="Placeholder Text"/>
    <w:uiPriority w:val="99"/>
    <w:semiHidden/>
    <w:rPr>
      <w:color w:val="808080"/>
    </w:rPr>
  </w:style>
  <w:style w:type="character" w:styleId="afd">
    <w:name w:val="Emphasis"/>
    <w:uiPriority w:val="20"/>
    <w:qFormat/>
    <w:rPr>
      <w:i/>
      <w:iCs/>
    </w:rPr>
  </w:style>
  <w:style w:type="character" w:styleId="afe">
    <w:name w:val="Strong"/>
    <w:qFormat/>
    <w:rPr>
      <w:b/>
      <w:bCs/>
    </w:rPr>
  </w:style>
  <w:style w:type="paragraph" w:styleId="aff">
    <w:name w:val="Bibliography"/>
    <w:basedOn w:val="a0"/>
    <w:next w:val="a0"/>
    <w:uiPriority w:val="37"/>
    <w:semiHidden/>
    <w:unhideWhenUsed/>
    <w:rPr>
      <w:rFonts w:eastAsia="ＭＳ 明朝"/>
      <w:sz w:val="22"/>
      <w:szCs w:val="22"/>
      <w:lang w:eastAsia="ja-JP"/>
    </w:rPr>
  </w:style>
  <w:style w:type="character" w:customStyle="1" w:styleId="11">
    <w:name w:val="未解決のメンション1"/>
    <w:uiPriority w:val="99"/>
    <w:semiHidden/>
    <w:unhideWhenUsed/>
    <w:rPr>
      <w:color w:val="605E5C"/>
      <w:shd w:val="clear" w:color="auto" w:fill="E1DFDD"/>
    </w:rPr>
  </w:style>
  <w:style w:type="character" w:customStyle="1" w:styleId="22">
    <w:name w:val="未解決のメンション2"/>
    <w:uiPriority w:val="99"/>
    <w:semiHidden/>
    <w:unhideWhenUsed/>
    <w:rPr>
      <w:color w:val="605E5C"/>
      <w:shd w:val="clear" w:color="auto" w:fill="E1DFDD"/>
    </w:rPr>
  </w:style>
  <w:style w:type="character" w:customStyle="1" w:styleId="UnresolvedMention1">
    <w:name w:val="Unresolved Mention1"/>
    <w:uiPriority w:val="99"/>
    <w:semiHidden/>
    <w:unhideWhenUsed/>
    <w:rPr>
      <w:color w:val="605E5C"/>
      <w:shd w:val="clear" w:color="auto" w:fill="E1DFDD"/>
    </w:rPr>
  </w:style>
  <w:style w:type="paragraph" w:customStyle="1" w:styleId="12">
    <w:name w:val="表題1"/>
    <w:basedOn w:val="a0"/>
    <w:pPr>
      <w:spacing w:before="100" w:beforeAutospacing="1" w:after="100" w:afterAutospacing="1"/>
    </w:pPr>
    <w:rPr>
      <w:lang w:val="en-US" w:eastAsia="en-US"/>
    </w:rPr>
  </w:style>
  <w:style w:type="character" w:customStyle="1" w:styleId="UnresolvedMention2">
    <w:name w:val="Unresolved Mention2"/>
    <w:basedOn w:val="a1"/>
    <w:uiPriority w:val="99"/>
    <w:semiHidden/>
    <w:unhideWhenUsed/>
    <w:rsid w:val="00A60EA5"/>
    <w:rPr>
      <w:color w:val="605E5C"/>
      <w:shd w:val="clear" w:color="auto" w:fill="E1DFDD"/>
    </w:rPr>
  </w:style>
  <w:style w:type="numbering" w:customStyle="1" w:styleId="ImportedStyle6">
    <w:name w:val="Imported Style 6"/>
    <w:rsid w:val="00202C54"/>
    <w:pPr>
      <w:numPr>
        <w:numId w:val="10"/>
      </w:numPr>
    </w:pPr>
  </w:style>
  <w:style w:type="paragraph" w:customStyle="1" w:styleId="Bbodytext">
    <w:name w:val="B body text"/>
    <w:basedOn w:val="a0"/>
    <w:link w:val="BbodytextChar"/>
    <w:qFormat/>
    <w:rsid w:val="0038593A"/>
    <w:pPr>
      <w:spacing w:after="200" w:line="276" w:lineRule="auto"/>
      <w:jc w:val="both"/>
    </w:pPr>
    <w:rPr>
      <w:rFonts w:ascii="Arial" w:eastAsia="Calibri" w:hAnsi="Arial" w:cs="Tms Rmn"/>
      <w:sz w:val="20"/>
      <w:lang w:eastAsia="ar-SA"/>
    </w:rPr>
  </w:style>
  <w:style w:type="character" w:customStyle="1" w:styleId="BbodytextChar">
    <w:name w:val="B body text Char"/>
    <w:basedOn w:val="a1"/>
    <w:link w:val="Bbodytext"/>
    <w:rsid w:val="0038593A"/>
    <w:rPr>
      <w:rFonts w:ascii="Arial" w:eastAsia="Calibri" w:hAnsi="Arial" w:cs="Tms Rmn"/>
      <w:szCs w:val="24"/>
      <w:lang w:val="en-GB" w:eastAsia="ar-SA"/>
    </w:rPr>
  </w:style>
  <w:style w:type="character" w:customStyle="1" w:styleId="UnresolvedMention3">
    <w:name w:val="Unresolved Mention3"/>
    <w:basedOn w:val="a1"/>
    <w:uiPriority w:val="99"/>
    <w:semiHidden/>
    <w:unhideWhenUsed/>
    <w:rsid w:val="00600ABE"/>
    <w:rPr>
      <w:color w:val="605E5C"/>
      <w:shd w:val="clear" w:color="auto" w:fill="E1DFDD"/>
    </w:rPr>
  </w:style>
  <w:style w:type="paragraph" w:customStyle="1" w:styleId="NumberedList">
    <w:name w:val="Numbered List"/>
    <w:basedOn w:val="afa"/>
    <w:uiPriority w:val="5"/>
    <w:qFormat/>
    <w:rsid w:val="00D52721"/>
    <w:pPr>
      <w:numPr>
        <w:numId w:val="11"/>
      </w:numPr>
      <w:spacing w:after="120"/>
      <w:ind w:right="680"/>
      <w:jc w:val="both"/>
    </w:pPr>
    <w:rPr>
      <w:rFonts w:ascii="Times New Roman" w:eastAsiaTheme="minorHAnsi" w:hAnsi="Times New Roman" w:cstheme="minorBidi"/>
      <w:snapToGrid/>
      <w:lang w:val="en-GB"/>
    </w:rPr>
  </w:style>
  <w:style w:type="paragraph" w:customStyle="1" w:styleId="CoverCommittee">
    <w:name w:val="CoverCommittee"/>
    <w:basedOn w:val="a0"/>
    <w:rsid w:val="00D856D5"/>
    <w:rPr>
      <w:rFonts w:eastAsiaTheme="minorHAnsi" w:cstheme="minorBidi"/>
      <w:b/>
      <w:sz w:val="22"/>
      <w:szCs w:val="22"/>
      <w:lang w:eastAsia="en-US"/>
    </w:rPr>
  </w:style>
  <w:style w:type="paragraph" w:customStyle="1" w:styleId="References">
    <w:name w:val="References"/>
    <w:basedOn w:val="a0"/>
    <w:rsid w:val="000179B0"/>
    <w:pPr>
      <w:tabs>
        <w:tab w:val="left" w:pos="432"/>
      </w:tabs>
      <w:spacing w:line="280" w:lineRule="atLeast"/>
      <w:ind w:left="432" w:hanging="432"/>
      <w:jc w:val="both"/>
    </w:pPr>
    <w:rPr>
      <w:sz w:val="22"/>
      <w:szCs w:val="20"/>
      <w:lang w:val="en-US" w:eastAsia="en-US"/>
    </w:rPr>
  </w:style>
  <w:style w:type="paragraph" w:styleId="aff0">
    <w:name w:val="TOC Heading"/>
    <w:basedOn w:val="1"/>
    <w:next w:val="a0"/>
    <w:uiPriority w:val="39"/>
    <w:unhideWhenUsed/>
    <w:qFormat/>
    <w:rsid w:val="0094674C"/>
    <w:pPr>
      <w:keepLines/>
      <w:spacing w:after="0" w:line="259" w:lineRule="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character" w:customStyle="1" w:styleId="UnresolvedMention4">
    <w:name w:val="Unresolved Mention4"/>
    <w:basedOn w:val="a1"/>
    <w:uiPriority w:val="99"/>
    <w:semiHidden/>
    <w:unhideWhenUsed/>
    <w:rsid w:val="00F12761"/>
    <w:rPr>
      <w:color w:val="605E5C"/>
      <w:shd w:val="clear" w:color="auto" w:fill="E1DFDD"/>
    </w:rPr>
  </w:style>
  <w:style w:type="paragraph" w:customStyle="1" w:styleId="ICRPnumberedparagraph">
    <w:name w:val="ICRP numbered paragraph"/>
    <w:basedOn w:val="a0"/>
    <w:link w:val="ICRPnumberedparagraphChar"/>
    <w:qFormat/>
    <w:rsid w:val="00BE35BE"/>
    <w:pPr>
      <w:numPr>
        <w:numId w:val="4"/>
      </w:numPr>
      <w:tabs>
        <w:tab w:val="left" w:pos="851"/>
      </w:tabs>
      <w:jc w:val="both"/>
    </w:pPr>
    <w:rPr>
      <w:rFonts w:eastAsia="ＭＳ 明朝"/>
      <w:szCs w:val="22"/>
      <w:lang w:eastAsia="ja-JP"/>
    </w:rPr>
  </w:style>
  <w:style w:type="character" w:customStyle="1" w:styleId="ICRPnumberedparagraphChar">
    <w:name w:val="ICRP numbered paragraph Char"/>
    <w:link w:val="ICRPnumberedparagraph"/>
    <w:rsid w:val="00BE35BE"/>
    <w:rPr>
      <w:sz w:val="24"/>
      <w:szCs w:val="22"/>
      <w:lang w:val="en-GB"/>
    </w:rPr>
  </w:style>
  <w:style w:type="paragraph" w:customStyle="1" w:styleId="ICRPrefs">
    <w:name w:val="ICRP refs"/>
    <w:basedOn w:val="a0"/>
    <w:qFormat/>
    <w:rsid w:val="00684108"/>
    <w:pPr>
      <w:ind w:left="284" w:hanging="284"/>
      <w:jc w:val="both"/>
    </w:pPr>
    <w:rPr>
      <w:sz w:val="22"/>
      <w:szCs w:val="20"/>
      <w:lang w:eastAsia="ja-JP"/>
    </w:rPr>
  </w:style>
  <w:style w:type="paragraph" w:customStyle="1" w:styleId="ICRPannexheading1">
    <w:name w:val="ICRP annex heading 1"/>
    <w:basedOn w:val="a0"/>
    <w:next w:val="a0"/>
    <w:qFormat/>
    <w:rsid w:val="00DB1C6A"/>
    <w:pPr>
      <w:numPr>
        <w:numId w:val="59"/>
      </w:numPr>
      <w:spacing w:before="240" w:after="240"/>
      <w:jc w:val="center"/>
    </w:pPr>
    <w:rPr>
      <w:b/>
      <w:caps/>
      <w:sz w:val="28"/>
      <w:lang w:eastAsia="en-US"/>
    </w:rPr>
  </w:style>
  <w:style w:type="paragraph" w:customStyle="1" w:styleId="ICRPannexheading2">
    <w:name w:val="ICRP annex heading 2"/>
    <w:basedOn w:val="a0"/>
    <w:qFormat/>
    <w:rsid w:val="00DB1C6A"/>
    <w:pPr>
      <w:numPr>
        <w:ilvl w:val="1"/>
        <w:numId w:val="59"/>
      </w:numPr>
      <w:tabs>
        <w:tab w:val="left" w:pos="851"/>
      </w:tabs>
      <w:spacing w:before="480" w:after="240"/>
    </w:pPr>
    <w:rPr>
      <w:b/>
      <w:sz w:val="28"/>
      <w:lang w:eastAsia="en-US"/>
    </w:rPr>
  </w:style>
  <w:style w:type="paragraph" w:customStyle="1" w:styleId="ICRPannexparagraph">
    <w:name w:val="ICRP annex paragraph"/>
    <w:basedOn w:val="a0"/>
    <w:qFormat/>
    <w:rsid w:val="00B02A5A"/>
    <w:pPr>
      <w:numPr>
        <w:ilvl w:val="3"/>
        <w:numId w:val="59"/>
      </w:numPr>
      <w:tabs>
        <w:tab w:val="left" w:pos="646"/>
      </w:tabs>
      <w:jc w:val="both"/>
    </w:pPr>
    <w:rPr>
      <w:rFonts w:eastAsia="ＭＳ 明朝"/>
      <w:szCs w:val="22"/>
      <w:lang w:eastAsia="ja-JP"/>
    </w:rPr>
  </w:style>
  <w:style w:type="character" w:customStyle="1" w:styleId="UnresolvedMention5">
    <w:name w:val="Unresolved Mention5"/>
    <w:basedOn w:val="a1"/>
    <w:uiPriority w:val="99"/>
    <w:semiHidden/>
    <w:unhideWhenUsed/>
    <w:rsid w:val="00D83B3F"/>
    <w:rPr>
      <w:color w:val="605E5C"/>
      <w:shd w:val="clear" w:color="auto" w:fill="E1DFDD"/>
    </w:rPr>
  </w:style>
  <w:style w:type="character" w:customStyle="1" w:styleId="UnresolvedMention6">
    <w:name w:val="Unresolved Mention6"/>
    <w:basedOn w:val="a1"/>
    <w:uiPriority w:val="99"/>
    <w:semiHidden/>
    <w:unhideWhenUsed/>
    <w:rsid w:val="00C4753C"/>
    <w:rPr>
      <w:color w:val="605E5C"/>
      <w:shd w:val="clear" w:color="auto" w:fill="E1DFDD"/>
    </w:rPr>
  </w:style>
  <w:style w:type="character" w:customStyle="1" w:styleId="a5">
    <w:name w:val="フッター (文字)"/>
    <w:basedOn w:val="a1"/>
    <w:link w:val="a4"/>
    <w:uiPriority w:val="99"/>
    <w:rsid w:val="003E1DA6"/>
    <w:rPr>
      <w:sz w:val="22"/>
      <w:szCs w:val="22"/>
      <w:lang w:val="en-GB"/>
    </w:rPr>
  </w:style>
  <w:style w:type="paragraph" w:customStyle="1" w:styleId="ICRPbasic">
    <w:name w:val="ICRP basic"/>
    <w:link w:val="ICRPbasicChar"/>
    <w:qFormat/>
    <w:rsid w:val="00DA3059"/>
    <w:pPr>
      <w:spacing w:before="240" w:after="240"/>
      <w:jc w:val="both"/>
    </w:pPr>
    <w:rPr>
      <w:rFonts w:eastAsia="Times New Roman"/>
      <w:sz w:val="24"/>
      <w:szCs w:val="24"/>
      <w:lang w:val="en-GB" w:eastAsia="en-US"/>
    </w:rPr>
  </w:style>
  <w:style w:type="character" w:customStyle="1" w:styleId="ICRPbasicChar">
    <w:name w:val="ICRP basic Char"/>
    <w:link w:val="ICRPbasic"/>
    <w:rsid w:val="00DA3059"/>
    <w:rPr>
      <w:rFonts w:eastAsia="Times New Roman"/>
      <w:sz w:val="24"/>
      <w:szCs w:val="24"/>
      <w:lang w:val="en-GB" w:eastAsia="en-US"/>
    </w:rPr>
  </w:style>
  <w:style w:type="paragraph" w:customStyle="1" w:styleId="ICRPannexheading3">
    <w:name w:val="ICRP annex heading 3"/>
    <w:basedOn w:val="a0"/>
    <w:rsid w:val="00A75083"/>
    <w:pPr>
      <w:numPr>
        <w:ilvl w:val="2"/>
        <w:numId w:val="59"/>
      </w:numPr>
    </w:pPr>
  </w:style>
  <w:style w:type="character" w:customStyle="1" w:styleId="33">
    <w:name w:val="未解決のメンション3"/>
    <w:basedOn w:val="a1"/>
    <w:uiPriority w:val="99"/>
    <w:semiHidden/>
    <w:unhideWhenUsed/>
    <w:rsid w:val="00950DDC"/>
    <w:rPr>
      <w:color w:val="605E5C"/>
      <w:shd w:val="clear" w:color="auto" w:fill="E1DFDD"/>
    </w:rPr>
  </w:style>
  <w:style w:type="paragraph" w:customStyle="1" w:styleId="ICRPbasicnospace">
    <w:name w:val="ICRP basic no space"/>
    <w:basedOn w:val="ICRPbasic"/>
    <w:link w:val="ICRPbasicnospaceChar"/>
    <w:qFormat/>
    <w:rsid w:val="002A1771"/>
    <w:pPr>
      <w:spacing w:before="0" w:after="0"/>
    </w:pPr>
  </w:style>
  <w:style w:type="character" w:customStyle="1" w:styleId="ICRPbasicnospaceChar">
    <w:name w:val="ICRP basic no space Char"/>
    <w:link w:val="ICRPbasicnospace"/>
    <w:rsid w:val="002A1771"/>
    <w:rPr>
      <w:rFonts w:eastAsia="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7565">
      <w:bodyDiv w:val="1"/>
      <w:marLeft w:val="0"/>
      <w:marRight w:val="0"/>
      <w:marTop w:val="0"/>
      <w:marBottom w:val="0"/>
      <w:divBdr>
        <w:top w:val="none" w:sz="0" w:space="0" w:color="auto"/>
        <w:left w:val="none" w:sz="0" w:space="0" w:color="auto"/>
        <w:bottom w:val="none" w:sz="0" w:space="0" w:color="auto"/>
        <w:right w:val="none" w:sz="0" w:space="0" w:color="auto"/>
      </w:divBdr>
    </w:div>
    <w:div w:id="71203758">
      <w:bodyDiv w:val="1"/>
      <w:marLeft w:val="0"/>
      <w:marRight w:val="0"/>
      <w:marTop w:val="0"/>
      <w:marBottom w:val="0"/>
      <w:divBdr>
        <w:top w:val="none" w:sz="0" w:space="0" w:color="auto"/>
        <w:left w:val="none" w:sz="0" w:space="0" w:color="auto"/>
        <w:bottom w:val="none" w:sz="0" w:space="0" w:color="auto"/>
        <w:right w:val="none" w:sz="0" w:space="0" w:color="auto"/>
      </w:divBdr>
    </w:div>
    <w:div w:id="99111561">
      <w:bodyDiv w:val="1"/>
      <w:marLeft w:val="0"/>
      <w:marRight w:val="0"/>
      <w:marTop w:val="0"/>
      <w:marBottom w:val="0"/>
      <w:divBdr>
        <w:top w:val="none" w:sz="0" w:space="0" w:color="auto"/>
        <w:left w:val="none" w:sz="0" w:space="0" w:color="auto"/>
        <w:bottom w:val="none" w:sz="0" w:space="0" w:color="auto"/>
        <w:right w:val="none" w:sz="0" w:space="0" w:color="auto"/>
      </w:divBdr>
      <w:divsChild>
        <w:div w:id="749698287">
          <w:marLeft w:val="547"/>
          <w:marRight w:val="0"/>
          <w:marTop w:val="0"/>
          <w:marBottom w:val="0"/>
          <w:divBdr>
            <w:top w:val="none" w:sz="0" w:space="0" w:color="auto"/>
            <w:left w:val="none" w:sz="0" w:space="0" w:color="auto"/>
            <w:bottom w:val="none" w:sz="0" w:space="0" w:color="auto"/>
            <w:right w:val="none" w:sz="0" w:space="0" w:color="auto"/>
          </w:divBdr>
        </w:div>
      </w:divsChild>
    </w:div>
    <w:div w:id="147327999">
      <w:bodyDiv w:val="1"/>
      <w:marLeft w:val="0"/>
      <w:marRight w:val="0"/>
      <w:marTop w:val="0"/>
      <w:marBottom w:val="0"/>
      <w:divBdr>
        <w:top w:val="none" w:sz="0" w:space="0" w:color="auto"/>
        <w:left w:val="none" w:sz="0" w:space="0" w:color="auto"/>
        <w:bottom w:val="none" w:sz="0" w:space="0" w:color="auto"/>
        <w:right w:val="none" w:sz="0" w:space="0" w:color="auto"/>
      </w:divBdr>
    </w:div>
    <w:div w:id="187573286">
      <w:bodyDiv w:val="1"/>
      <w:marLeft w:val="0"/>
      <w:marRight w:val="0"/>
      <w:marTop w:val="0"/>
      <w:marBottom w:val="0"/>
      <w:divBdr>
        <w:top w:val="none" w:sz="0" w:space="0" w:color="auto"/>
        <w:left w:val="none" w:sz="0" w:space="0" w:color="auto"/>
        <w:bottom w:val="none" w:sz="0" w:space="0" w:color="auto"/>
        <w:right w:val="none" w:sz="0" w:space="0" w:color="auto"/>
      </w:divBdr>
    </w:div>
    <w:div w:id="206768289">
      <w:bodyDiv w:val="1"/>
      <w:marLeft w:val="0"/>
      <w:marRight w:val="0"/>
      <w:marTop w:val="0"/>
      <w:marBottom w:val="0"/>
      <w:divBdr>
        <w:top w:val="none" w:sz="0" w:space="0" w:color="auto"/>
        <w:left w:val="none" w:sz="0" w:space="0" w:color="auto"/>
        <w:bottom w:val="none" w:sz="0" w:space="0" w:color="auto"/>
        <w:right w:val="none" w:sz="0" w:space="0" w:color="auto"/>
      </w:divBdr>
    </w:div>
    <w:div w:id="229273897">
      <w:bodyDiv w:val="1"/>
      <w:marLeft w:val="0"/>
      <w:marRight w:val="0"/>
      <w:marTop w:val="0"/>
      <w:marBottom w:val="0"/>
      <w:divBdr>
        <w:top w:val="none" w:sz="0" w:space="0" w:color="auto"/>
        <w:left w:val="none" w:sz="0" w:space="0" w:color="auto"/>
        <w:bottom w:val="none" w:sz="0" w:space="0" w:color="auto"/>
        <w:right w:val="none" w:sz="0" w:space="0" w:color="auto"/>
      </w:divBdr>
    </w:div>
    <w:div w:id="244612416">
      <w:bodyDiv w:val="1"/>
      <w:marLeft w:val="0"/>
      <w:marRight w:val="0"/>
      <w:marTop w:val="0"/>
      <w:marBottom w:val="0"/>
      <w:divBdr>
        <w:top w:val="none" w:sz="0" w:space="0" w:color="auto"/>
        <w:left w:val="none" w:sz="0" w:space="0" w:color="auto"/>
        <w:bottom w:val="none" w:sz="0" w:space="0" w:color="auto"/>
        <w:right w:val="none" w:sz="0" w:space="0" w:color="auto"/>
      </w:divBdr>
    </w:div>
    <w:div w:id="294455691">
      <w:bodyDiv w:val="1"/>
      <w:marLeft w:val="0"/>
      <w:marRight w:val="0"/>
      <w:marTop w:val="0"/>
      <w:marBottom w:val="0"/>
      <w:divBdr>
        <w:top w:val="none" w:sz="0" w:space="0" w:color="auto"/>
        <w:left w:val="none" w:sz="0" w:space="0" w:color="auto"/>
        <w:bottom w:val="none" w:sz="0" w:space="0" w:color="auto"/>
        <w:right w:val="none" w:sz="0" w:space="0" w:color="auto"/>
      </w:divBdr>
    </w:div>
    <w:div w:id="333529104">
      <w:bodyDiv w:val="1"/>
      <w:marLeft w:val="0"/>
      <w:marRight w:val="0"/>
      <w:marTop w:val="0"/>
      <w:marBottom w:val="0"/>
      <w:divBdr>
        <w:top w:val="none" w:sz="0" w:space="0" w:color="auto"/>
        <w:left w:val="none" w:sz="0" w:space="0" w:color="auto"/>
        <w:bottom w:val="none" w:sz="0" w:space="0" w:color="auto"/>
        <w:right w:val="none" w:sz="0" w:space="0" w:color="auto"/>
      </w:divBdr>
    </w:div>
    <w:div w:id="395054941">
      <w:bodyDiv w:val="1"/>
      <w:marLeft w:val="0"/>
      <w:marRight w:val="0"/>
      <w:marTop w:val="0"/>
      <w:marBottom w:val="0"/>
      <w:divBdr>
        <w:top w:val="none" w:sz="0" w:space="0" w:color="auto"/>
        <w:left w:val="none" w:sz="0" w:space="0" w:color="auto"/>
        <w:bottom w:val="none" w:sz="0" w:space="0" w:color="auto"/>
        <w:right w:val="none" w:sz="0" w:space="0" w:color="auto"/>
      </w:divBdr>
    </w:div>
    <w:div w:id="395934002">
      <w:bodyDiv w:val="1"/>
      <w:marLeft w:val="0"/>
      <w:marRight w:val="0"/>
      <w:marTop w:val="0"/>
      <w:marBottom w:val="0"/>
      <w:divBdr>
        <w:top w:val="none" w:sz="0" w:space="0" w:color="auto"/>
        <w:left w:val="none" w:sz="0" w:space="0" w:color="auto"/>
        <w:bottom w:val="none" w:sz="0" w:space="0" w:color="auto"/>
        <w:right w:val="none" w:sz="0" w:space="0" w:color="auto"/>
      </w:divBdr>
    </w:div>
    <w:div w:id="405300645">
      <w:bodyDiv w:val="1"/>
      <w:marLeft w:val="0"/>
      <w:marRight w:val="0"/>
      <w:marTop w:val="0"/>
      <w:marBottom w:val="0"/>
      <w:divBdr>
        <w:top w:val="none" w:sz="0" w:space="0" w:color="auto"/>
        <w:left w:val="none" w:sz="0" w:space="0" w:color="auto"/>
        <w:bottom w:val="none" w:sz="0" w:space="0" w:color="auto"/>
        <w:right w:val="none" w:sz="0" w:space="0" w:color="auto"/>
      </w:divBdr>
    </w:div>
    <w:div w:id="409279393">
      <w:bodyDiv w:val="1"/>
      <w:marLeft w:val="0"/>
      <w:marRight w:val="0"/>
      <w:marTop w:val="0"/>
      <w:marBottom w:val="0"/>
      <w:divBdr>
        <w:top w:val="none" w:sz="0" w:space="0" w:color="auto"/>
        <w:left w:val="none" w:sz="0" w:space="0" w:color="auto"/>
        <w:bottom w:val="none" w:sz="0" w:space="0" w:color="auto"/>
        <w:right w:val="none" w:sz="0" w:space="0" w:color="auto"/>
      </w:divBdr>
    </w:div>
    <w:div w:id="412237841">
      <w:bodyDiv w:val="1"/>
      <w:marLeft w:val="0"/>
      <w:marRight w:val="0"/>
      <w:marTop w:val="0"/>
      <w:marBottom w:val="0"/>
      <w:divBdr>
        <w:top w:val="none" w:sz="0" w:space="0" w:color="auto"/>
        <w:left w:val="none" w:sz="0" w:space="0" w:color="auto"/>
        <w:bottom w:val="none" w:sz="0" w:space="0" w:color="auto"/>
        <w:right w:val="none" w:sz="0" w:space="0" w:color="auto"/>
      </w:divBdr>
    </w:div>
    <w:div w:id="434138874">
      <w:bodyDiv w:val="1"/>
      <w:marLeft w:val="0"/>
      <w:marRight w:val="0"/>
      <w:marTop w:val="0"/>
      <w:marBottom w:val="0"/>
      <w:divBdr>
        <w:top w:val="none" w:sz="0" w:space="0" w:color="auto"/>
        <w:left w:val="none" w:sz="0" w:space="0" w:color="auto"/>
        <w:bottom w:val="none" w:sz="0" w:space="0" w:color="auto"/>
        <w:right w:val="none" w:sz="0" w:space="0" w:color="auto"/>
      </w:divBdr>
    </w:div>
    <w:div w:id="470631378">
      <w:bodyDiv w:val="1"/>
      <w:marLeft w:val="0"/>
      <w:marRight w:val="0"/>
      <w:marTop w:val="0"/>
      <w:marBottom w:val="0"/>
      <w:divBdr>
        <w:top w:val="none" w:sz="0" w:space="0" w:color="auto"/>
        <w:left w:val="none" w:sz="0" w:space="0" w:color="auto"/>
        <w:bottom w:val="none" w:sz="0" w:space="0" w:color="auto"/>
        <w:right w:val="none" w:sz="0" w:space="0" w:color="auto"/>
      </w:divBdr>
    </w:div>
    <w:div w:id="479735830">
      <w:bodyDiv w:val="1"/>
      <w:marLeft w:val="0"/>
      <w:marRight w:val="0"/>
      <w:marTop w:val="0"/>
      <w:marBottom w:val="0"/>
      <w:divBdr>
        <w:top w:val="none" w:sz="0" w:space="0" w:color="auto"/>
        <w:left w:val="none" w:sz="0" w:space="0" w:color="auto"/>
        <w:bottom w:val="none" w:sz="0" w:space="0" w:color="auto"/>
        <w:right w:val="none" w:sz="0" w:space="0" w:color="auto"/>
      </w:divBdr>
    </w:div>
    <w:div w:id="490486200">
      <w:bodyDiv w:val="1"/>
      <w:marLeft w:val="0"/>
      <w:marRight w:val="0"/>
      <w:marTop w:val="0"/>
      <w:marBottom w:val="0"/>
      <w:divBdr>
        <w:top w:val="none" w:sz="0" w:space="0" w:color="auto"/>
        <w:left w:val="none" w:sz="0" w:space="0" w:color="auto"/>
        <w:bottom w:val="none" w:sz="0" w:space="0" w:color="auto"/>
        <w:right w:val="none" w:sz="0" w:space="0" w:color="auto"/>
      </w:divBdr>
    </w:div>
    <w:div w:id="524559950">
      <w:bodyDiv w:val="1"/>
      <w:marLeft w:val="0"/>
      <w:marRight w:val="0"/>
      <w:marTop w:val="0"/>
      <w:marBottom w:val="0"/>
      <w:divBdr>
        <w:top w:val="none" w:sz="0" w:space="0" w:color="auto"/>
        <w:left w:val="none" w:sz="0" w:space="0" w:color="auto"/>
        <w:bottom w:val="none" w:sz="0" w:space="0" w:color="auto"/>
        <w:right w:val="none" w:sz="0" w:space="0" w:color="auto"/>
      </w:divBdr>
    </w:div>
    <w:div w:id="530335813">
      <w:bodyDiv w:val="1"/>
      <w:marLeft w:val="0"/>
      <w:marRight w:val="0"/>
      <w:marTop w:val="0"/>
      <w:marBottom w:val="0"/>
      <w:divBdr>
        <w:top w:val="none" w:sz="0" w:space="0" w:color="auto"/>
        <w:left w:val="none" w:sz="0" w:space="0" w:color="auto"/>
        <w:bottom w:val="none" w:sz="0" w:space="0" w:color="auto"/>
        <w:right w:val="none" w:sz="0" w:space="0" w:color="auto"/>
      </w:divBdr>
    </w:div>
    <w:div w:id="544291509">
      <w:bodyDiv w:val="1"/>
      <w:marLeft w:val="0"/>
      <w:marRight w:val="0"/>
      <w:marTop w:val="0"/>
      <w:marBottom w:val="0"/>
      <w:divBdr>
        <w:top w:val="none" w:sz="0" w:space="0" w:color="auto"/>
        <w:left w:val="none" w:sz="0" w:space="0" w:color="auto"/>
        <w:bottom w:val="none" w:sz="0" w:space="0" w:color="auto"/>
        <w:right w:val="none" w:sz="0" w:space="0" w:color="auto"/>
      </w:divBdr>
    </w:div>
    <w:div w:id="567304443">
      <w:bodyDiv w:val="1"/>
      <w:marLeft w:val="0"/>
      <w:marRight w:val="0"/>
      <w:marTop w:val="0"/>
      <w:marBottom w:val="0"/>
      <w:divBdr>
        <w:top w:val="none" w:sz="0" w:space="0" w:color="auto"/>
        <w:left w:val="none" w:sz="0" w:space="0" w:color="auto"/>
        <w:bottom w:val="none" w:sz="0" w:space="0" w:color="auto"/>
        <w:right w:val="none" w:sz="0" w:space="0" w:color="auto"/>
      </w:divBdr>
      <w:divsChild>
        <w:div w:id="1203833654">
          <w:marLeft w:val="0"/>
          <w:marRight w:val="0"/>
          <w:marTop w:val="0"/>
          <w:marBottom w:val="0"/>
          <w:divBdr>
            <w:top w:val="none" w:sz="0" w:space="0" w:color="auto"/>
            <w:left w:val="none" w:sz="0" w:space="0" w:color="auto"/>
            <w:bottom w:val="none" w:sz="0" w:space="0" w:color="auto"/>
            <w:right w:val="none" w:sz="0" w:space="0" w:color="auto"/>
          </w:divBdr>
          <w:divsChild>
            <w:div w:id="2250670">
              <w:marLeft w:val="0"/>
              <w:marRight w:val="0"/>
              <w:marTop w:val="0"/>
              <w:marBottom w:val="0"/>
              <w:divBdr>
                <w:top w:val="none" w:sz="0" w:space="0" w:color="auto"/>
                <w:left w:val="none" w:sz="0" w:space="0" w:color="auto"/>
                <w:bottom w:val="none" w:sz="0" w:space="0" w:color="auto"/>
                <w:right w:val="none" w:sz="0" w:space="0" w:color="auto"/>
              </w:divBdr>
              <w:divsChild>
                <w:div w:id="18110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766522">
      <w:bodyDiv w:val="1"/>
      <w:marLeft w:val="0"/>
      <w:marRight w:val="0"/>
      <w:marTop w:val="0"/>
      <w:marBottom w:val="0"/>
      <w:divBdr>
        <w:top w:val="none" w:sz="0" w:space="0" w:color="auto"/>
        <w:left w:val="none" w:sz="0" w:space="0" w:color="auto"/>
        <w:bottom w:val="none" w:sz="0" w:space="0" w:color="auto"/>
        <w:right w:val="none" w:sz="0" w:space="0" w:color="auto"/>
      </w:divBdr>
    </w:div>
    <w:div w:id="591546900">
      <w:bodyDiv w:val="1"/>
      <w:marLeft w:val="0"/>
      <w:marRight w:val="0"/>
      <w:marTop w:val="0"/>
      <w:marBottom w:val="0"/>
      <w:divBdr>
        <w:top w:val="none" w:sz="0" w:space="0" w:color="auto"/>
        <w:left w:val="none" w:sz="0" w:space="0" w:color="auto"/>
        <w:bottom w:val="none" w:sz="0" w:space="0" w:color="auto"/>
        <w:right w:val="none" w:sz="0" w:space="0" w:color="auto"/>
      </w:divBdr>
    </w:div>
    <w:div w:id="614363085">
      <w:bodyDiv w:val="1"/>
      <w:marLeft w:val="0"/>
      <w:marRight w:val="0"/>
      <w:marTop w:val="0"/>
      <w:marBottom w:val="0"/>
      <w:divBdr>
        <w:top w:val="none" w:sz="0" w:space="0" w:color="auto"/>
        <w:left w:val="none" w:sz="0" w:space="0" w:color="auto"/>
        <w:bottom w:val="none" w:sz="0" w:space="0" w:color="auto"/>
        <w:right w:val="none" w:sz="0" w:space="0" w:color="auto"/>
      </w:divBdr>
    </w:div>
    <w:div w:id="626085907">
      <w:bodyDiv w:val="1"/>
      <w:marLeft w:val="0"/>
      <w:marRight w:val="0"/>
      <w:marTop w:val="0"/>
      <w:marBottom w:val="0"/>
      <w:divBdr>
        <w:top w:val="none" w:sz="0" w:space="0" w:color="auto"/>
        <w:left w:val="none" w:sz="0" w:space="0" w:color="auto"/>
        <w:bottom w:val="none" w:sz="0" w:space="0" w:color="auto"/>
        <w:right w:val="none" w:sz="0" w:space="0" w:color="auto"/>
      </w:divBdr>
    </w:div>
    <w:div w:id="660281010">
      <w:bodyDiv w:val="1"/>
      <w:marLeft w:val="0"/>
      <w:marRight w:val="0"/>
      <w:marTop w:val="0"/>
      <w:marBottom w:val="0"/>
      <w:divBdr>
        <w:top w:val="none" w:sz="0" w:space="0" w:color="auto"/>
        <w:left w:val="none" w:sz="0" w:space="0" w:color="auto"/>
        <w:bottom w:val="none" w:sz="0" w:space="0" w:color="auto"/>
        <w:right w:val="none" w:sz="0" w:space="0" w:color="auto"/>
      </w:divBdr>
    </w:div>
    <w:div w:id="671882215">
      <w:bodyDiv w:val="1"/>
      <w:marLeft w:val="0"/>
      <w:marRight w:val="0"/>
      <w:marTop w:val="0"/>
      <w:marBottom w:val="0"/>
      <w:divBdr>
        <w:top w:val="none" w:sz="0" w:space="0" w:color="auto"/>
        <w:left w:val="none" w:sz="0" w:space="0" w:color="auto"/>
        <w:bottom w:val="none" w:sz="0" w:space="0" w:color="auto"/>
        <w:right w:val="none" w:sz="0" w:space="0" w:color="auto"/>
      </w:divBdr>
    </w:div>
    <w:div w:id="709107442">
      <w:bodyDiv w:val="1"/>
      <w:marLeft w:val="0"/>
      <w:marRight w:val="0"/>
      <w:marTop w:val="0"/>
      <w:marBottom w:val="0"/>
      <w:divBdr>
        <w:top w:val="none" w:sz="0" w:space="0" w:color="auto"/>
        <w:left w:val="none" w:sz="0" w:space="0" w:color="auto"/>
        <w:bottom w:val="none" w:sz="0" w:space="0" w:color="auto"/>
        <w:right w:val="none" w:sz="0" w:space="0" w:color="auto"/>
      </w:divBdr>
      <w:divsChild>
        <w:div w:id="729499851">
          <w:marLeft w:val="0"/>
          <w:marRight w:val="0"/>
          <w:marTop w:val="0"/>
          <w:marBottom w:val="0"/>
          <w:divBdr>
            <w:top w:val="none" w:sz="0" w:space="0" w:color="auto"/>
            <w:left w:val="none" w:sz="0" w:space="0" w:color="auto"/>
            <w:bottom w:val="none" w:sz="0" w:space="0" w:color="auto"/>
            <w:right w:val="none" w:sz="0" w:space="0" w:color="auto"/>
          </w:divBdr>
        </w:div>
      </w:divsChild>
    </w:div>
    <w:div w:id="711926479">
      <w:bodyDiv w:val="1"/>
      <w:marLeft w:val="0"/>
      <w:marRight w:val="0"/>
      <w:marTop w:val="0"/>
      <w:marBottom w:val="0"/>
      <w:divBdr>
        <w:top w:val="none" w:sz="0" w:space="0" w:color="auto"/>
        <w:left w:val="none" w:sz="0" w:space="0" w:color="auto"/>
        <w:bottom w:val="none" w:sz="0" w:space="0" w:color="auto"/>
        <w:right w:val="none" w:sz="0" w:space="0" w:color="auto"/>
      </w:divBdr>
    </w:div>
    <w:div w:id="718942228">
      <w:bodyDiv w:val="1"/>
      <w:marLeft w:val="0"/>
      <w:marRight w:val="0"/>
      <w:marTop w:val="0"/>
      <w:marBottom w:val="0"/>
      <w:divBdr>
        <w:top w:val="none" w:sz="0" w:space="0" w:color="auto"/>
        <w:left w:val="none" w:sz="0" w:space="0" w:color="auto"/>
        <w:bottom w:val="none" w:sz="0" w:space="0" w:color="auto"/>
        <w:right w:val="none" w:sz="0" w:space="0" w:color="auto"/>
      </w:divBdr>
    </w:div>
    <w:div w:id="784614174">
      <w:bodyDiv w:val="1"/>
      <w:marLeft w:val="0"/>
      <w:marRight w:val="0"/>
      <w:marTop w:val="0"/>
      <w:marBottom w:val="0"/>
      <w:divBdr>
        <w:top w:val="none" w:sz="0" w:space="0" w:color="auto"/>
        <w:left w:val="none" w:sz="0" w:space="0" w:color="auto"/>
        <w:bottom w:val="none" w:sz="0" w:space="0" w:color="auto"/>
        <w:right w:val="none" w:sz="0" w:space="0" w:color="auto"/>
      </w:divBdr>
    </w:div>
    <w:div w:id="785580100">
      <w:bodyDiv w:val="1"/>
      <w:marLeft w:val="0"/>
      <w:marRight w:val="0"/>
      <w:marTop w:val="0"/>
      <w:marBottom w:val="0"/>
      <w:divBdr>
        <w:top w:val="none" w:sz="0" w:space="0" w:color="auto"/>
        <w:left w:val="none" w:sz="0" w:space="0" w:color="auto"/>
        <w:bottom w:val="none" w:sz="0" w:space="0" w:color="auto"/>
        <w:right w:val="none" w:sz="0" w:space="0" w:color="auto"/>
      </w:divBdr>
    </w:div>
    <w:div w:id="797258049">
      <w:bodyDiv w:val="1"/>
      <w:marLeft w:val="0"/>
      <w:marRight w:val="0"/>
      <w:marTop w:val="0"/>
      <w:marBottom w:val="0"/>
      <w:divBdr>
        <w:top w:val="none" w:sz="0" w:space="0" w:color="auto"/>
        <w:left w:val="none" w:sz="0" w:space="0" w:color="auto"/>
        <w:bottom w:val="none" w:sz="0" w:space="0" w:color="auto"/>
        <w:right w:val="none" w:sz="0" w:space="0" w:color="auto"/>
      </w:divBdr>
    </w:div>
    <w:div w:id="835996775">
      <w:bodyDiv w:val="1"/>
      <w:marLeft w:val="0"/>
      <w:marRight w:val="0"/>
      <w:marTop w:val="0"/>
      <w:marBottom w:val="0"/>
      <w:divBdr>
        <w:top w:val="none" w:sz="0" w:space="0" w:color="auto"/>
        <w:left w:val="none" w:sz="0" w:space="0" w:color="auto"/>
        <w:bottom w:val="none" w:sz="0" w:space="0" w:color="auto"/>
        <w:right w:val="none" w:sz="0" w:space="0" w:color="auto"/>
      </w:divBdr>
    </w:div>
    <w:div w:id="858543898">
      <w:bodyDiv w:val="1"/>
      <w:marLeft w:val="0"/>
      <w:marRight w:val="0"/>
      <w:marTop w:val="0"/>
      <w:marBottom w:val="0"/>
      <w:divBdr>
        <w:top w:val="none" w:sz="0" w:space="0" w:color="auto"/>
        <w:left w:val="none" w:sz="0" w:space="0" w:color="auto"/>
        <w:bottom w:val="none" w:sz="0" w:space="0" w:color="auto"/>
        <w:right w:val="none" w:sz="0" w:space="0" w:color="auto"/>
      </w:divBdr>
    </w:div>
    <w:div w:id="879241827">
      <w:bodyDiv w:val="1"/>
      <w:marLeft w:val="0"/>
      <w:marRight w:val="0"/>
      <w:marTop w:val="0"/>
      <w:marBottom w:val="0"/>
      <w:divBdr>
        <w:top w:val="none" w:sz="0" w:space="0" w:color="auto"/>
        <w:left w:val="none" w:sz="0" w:space="0" w:color="auto"/>
        <w:bottom w:val="none" w:sz="0" w:space="0" w:color="auto"/>
        <w:right w:val="none" w:sz="0" w:space="0" w:color="auto"/>
      </w:divBdr>
    </w:div>
    <w:div w:id="891160245">
      <w:bodyDiv w:val="1"/>
      <w:marLeft w:val="0"/>
      <w:marRight w:val="0"/>
      <w:marTop w:val="0"/>
      <w:marBottom w:val="0"/>
      <w:divBdr>
        <w:top w:val="none" w:sz="0" w:space="0" w:color="auto"/>
        <w:left w:val="none" w:sz="0" w:space="0" w:color="auto"/>
        <w:bottom w:val="none" w:sz="0" w:space="0" w:color="auto"/>
        <w:right w:val="none" w:sz="0" w:space="0" w:color="auto"/>
      </w:divBdr>
    </w:div>
    <w:div w:id="953101581">
      <w:bodyDiv w:val="1"/>
      <w:marLeft w:val="0"/>
      <w:marRight w:val="0"/>
      <w:marTop w:val="0"/>
      <w:marBottom w:val="0"/>
      <w:divBdr>
        <w:top w:val="none" w:sz="0" w:space="0" w:color="auto"/>
        <w:left w:val="none" w:sz="0" w:space="0" w:color="auto"/>
        <w:bottom w:val="none" w:sz="0" w:space="0" w:color="auto"/>
        <w:right w:val="none" w:sz="0" w:space="0" w:color="auto"/>
      </w:divBdr>
    </w:div>
    <w:div w:id="973556934">
      <w:bodyDiv w:val="1"/>
      <w:marLeft w:val="0"/>
      <w:marRight w:val="0"/>
      <w:marTop w:val="0"/>
      <w:marBottom w:val="0"/>
      <w:divBdr>
        <w:top w:val="none" w:sz="0" w:space="0" w:color="auto"/>
        <w:left w:val="none" w:sz="0" w:space="0" w:color="auto"/>
        <w:bottom w:val="none" w:sz="0" w:space="0" w:color="auto"/>
        <w:right w:val="none" w:sz="0" w:space="0" w:color="auto"/>
      </w:divBdr>
    </w:div>
    <w:div w:id="983465420">
      <w:bodyDiv w:val="1"/>
      <w:marLeft w:val="0"/>
      <w:marRight w:val="0"/>
      <w:marTop w:val="0"/>
      <w:marBottom w:val="0"/>
      <w:divBdr>
        <w:top w:val="none" w:sz="0" w:space="0" w:color="auto"/>
        <w:left w:val="none" w:sz="0" w:space="0" w:color="auto"/>
        <w:bottom w:val="none" w:sz="0" w:space="0" w:color="auto"/>
        <w:right w:val="none" w:sz="0" w:space="0" w:color="auto"/>
      </w:divBdr>
    </w:div>
    <w:div w:id="992682207">
      <w:bodyDiv w:val="1"/>
      <w:marLeft w:val="0"/>
      <w:marRight w:val="0"/>
      <w:marTop w:val="0"/>
      <w:marBottom w:val="0"/>
      <w:divBdr>
        <w:top w:val="none" w:sz="0" w:space="0" w:color="auto"/>
        <w:left w:val="none" w:sz="0" w:space="0" w:color="auto"/>
        <w:bottom w:val="none" w:sz="0" w:space="0" w:color="auto"/>
        <w:right w:val="none" w:sz="0" w:space="0" w:color="auto"/>
      </w:divBdr>
    </w:div>
    <w:div w:id="993140138">
      <w:bodyDiv w:val="1"/>
      <w:marLeft w:val="0"/>
      <w:marRight w:val="0"/>
      <w:marTop w:val="0"/>
      <w:marBottom w:val="0"/>
      <w:divBdr>
        <w:top w:val="none" w:sz="0" w:space="0" w:color="auto"/>
        <w:left w:val="none" w:sz="0" w:space="0" w:color="auto"/>
        <w:bottom w:val="none" w:sz="0" w:space="0" w:color="auto"/>
        <w:right w:val="none" w:sz="0" w:space="0" w:color="auto"/>
      </w:divBdr>
      <w:divsChild>
        <w:div w:id="1094128339">
          <w:marLeft w:val="0"/>
          <w:marRight w:val="0"/>
          <w:marTop w:val="0"/>
          <w:marBottom w:val="0"/>
          <w:divBdr>
            <w:top w:val="none" w:sz="0" w:space="0" w:color="auto"/>
            <w:left w:val="none" w:sz="0" w:space="0" w:color="auto"/>
            <w:bottom w:val="none" w:sz="0" w:space="0" w:color="auto"/>
            <w:right w:val="none" w:sz="0" w:space="0" w:color="auto"/>
          </w:divBdr>
          <w:divsChild>
            <w:div w:id="33697633">
              <w:marLeft w:val="0"/>
              <w:marRight w:val="0"/>
              <w:marTop w:val="0"/>
              <w:marBottom w:val="0"/>
              <w:divBdr>
                <w:top w:val="none" w:sz="0" w:space="0" w:color="auto"/>
                <w:left w:val="none" w:sz="0" w:space="0" w:color="auto"/>
                <w:bottom w:val="none" w:sz="0" w:space="0" w:color="auto"/>
                <w:right w:val="none" w:sz="0" w:space="0" w:color="auto"/>
              </w:divBdr>
              <w:divsChild>
                <w:div w:id="1770617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183064">
      <w:bodyDiv w:val="1"/>
      <w:marLeft w:val="0"/>
      <w:marRight w:val="0"/>
      <w:marTop w:val="0"/>
      <w:marBottom w:val="0"/>
      <w:divBdr>
        <w:top w:val="none" w:sz="0" w:space="0" w:color="auto"/>
        <w:left w:val="none" w:sz="0" w:space="0" w:color="auto"/>
        <w:bottom w:val="none" w:sz="0" w:space="0" w:color="auto"/>
        <w:right w:val="none" w:sz="0" w:space="0" w:color="auto"/>
      </w:divBdr>
    </w:div>
    <w:div w:id="1105611254">
      <w:bodyDiv w:val="1"/>
      <w:marLeft w:val="0"/>
      <w:marRight w:val="0"/>
      <w:marTop w:val="0"/>
      <w:marBottom w:val="0"/>
      <w:divBdr>
        <w:top w:val="none" w:sz="0" w:space="0" w:color="auto"/>
        <w:left w:val="none" w:sz="0" w:space="0" w:color="auto"/>
        <w:bottom w:val="none" w:sz="0" w:space="0" w:color="auto"/>
        <w:right w:val="none" w:sz="0" w:space="0" w:color="auto"/>
      </w:divBdr>
    </w:div>
    <w:div w:id="1128475307">
      <w:bodyDiv w:val="1"/>
      <w:marLeft w:val="0"/>
      <w:marRight w:val="0"/>
      <w:marTop w:val="0"/>
      <w:marBottom w:val="0"/>
      <w:divBdr>
        <w:top w:val="none" w:sz="0" w:space="0" w:color="auto"/>
        <w:left w:val="none" w:sz="0" w:space="0" w:color="auto"/>
        <w:bottom w:val="none" w:sz="0" w:space="0" w:color="auto"/>
        <w:right w:val="none" w:sz="0" w:space="0" w:color="auto"/>
      </w:divBdr>
    </w:div>
    <w:div w:id="1157572223">
      <w:bodyDiv w:val="1"/>
      <w:marLeft w:val="0"/>
      <w:marRight w:val="0"/>
      <w:marTop w:val="0"/>
      <w:marBottom w:val="0"/>
      <w:divBdr>
        <w:top w:val="none" w:sz="0" w:space="0" w:color="auto"/>
        <w:left w:val="none" w:sz="0" w:space="0" w:color="auto"/>
        <w:bottom w:val="none" w:sz="0" w:space="0" w:color="auto"/>
        <w:right w:val="none" w:sz="0" w:space="0" w:color="auto"/>
      </w:divBdr>
    </w:div>
    <w:div w:id="1161581656">
      <w:bodyDiv w:val="1"/>
      <w:marLeft w:val="0"/>
      <w:marRight w:val="0"/>
      <w:marTop w:val="0"/>
      <w:marBottom w:val="0"/>
      <w:divBdr>
        <w:top w:val="none" w:sz="0" w:space="0" w:color="auto"/>
        <w:left w:val="none" w:sz="0" w:space="0" w:color="auto"/>
        <w:bottom w:val="none" w:sz="0" w:space="0" w:color="auto"/>
        <w:right w:val="none" w:sz="0" w:space="0" w:color="auto"/>
      </w:divBdr>
    </w:div>
    <w:div w:id="1204636317">
      <w:bodyDiv w:val="1"/>
      <w:marLeft w:val="0"/>
      <w:marRight w:val="0"/>
      <w:marTop w:val="0"/>
      <w:marBottom w:val="0"/>
      <w:divBdr>
        <w:top w:val="none" w:sz="0" w:space="0" w:color="auto"/>
        <w:left w:val="none" w:sz="0" w:space="0" w:color="auto"/>
        <w:bottom w:val="none" w:sz="0" w:space="0" w:color="auto"/>
        <w:right w:val="none" w:sz="0" w:space="0" w:color="auto"/>
      </w:divBdr>
    </w:div>
    <w:div w:id="1207136432">
      <w:bodyDiv w:val="1"/>
      <w:marLeft w:val="0"/>
      <w:marRight w:val="0"/>
      <w:marTop w:val="0"/>
      <w:marBottom w:val="0"/>
      <w:divBdr>
        <w:top w:val="none" w:sz="0" w:space="0" w:color="auto"/>
        <w:left w:val="none" w:sz="0" w:space="0" w:color="auto"/>
        <w:bottom w:val="none" w:sz="0" w:space="0" w:color="auto"/>
        <w:right w:val="none" w:sz="0" w:space="0" w:color="auto"/>
      </w:divBdr>
    </w:div>
    <w:div w:id="1209344680">
      <w:bodyDiv w:val="1"/>
      <w:marLeft w:val="0"/>
      <w:marRight w:val="0"/>
      <w:marTop w:val="0"/>
      <w:marBottom w:val="0"/>
      <w:divBdr>
        <w:top w:val="none" w:sz="0" w:space="0" w:color="auto"/>
        <w:left w:val="none" w:sz="0" w:space="0" w:color="auto"/>
        <w:bottom w:val="none" w:sz="0" w:space="0" w:color="auto"/>
        <w:right w:val="none" w:sz="0" w:space="0" w:color="auto"/>
      </w:divBdr>
    </w:div>
    <w:div w:id="1213269856">
      <w:bodyDiv w:val="1"/>
      <w:marLeft w:val="0"/>
      <w:marRight w:val="0"/>
      <w:marTop w:val="0"/>
      <w:marBottom w:val="0"/>
      <w:divBdr>
        <w:top w:val="none" w:sz="0" w:space="0" w:color="auto"/>
        <w:left w:val="none" w:sz="0" w:space="0" w:color="auto"/>
        <w:bottom w:val="none" w:sz="0" w:space="0" w:color="auto"/>
        <w:right w:val="none" w:sz="0" w:space="0" w:color="auto"/>
      </w:divBdr>
    </w:div>
    <w:div w:id="1216550089">
      <w:bodyDiv w:val="1"/>
      <w:marLeft w:val="0"/>
      <w:marRight w:val="0"/>
      <w:marTop w:val="0"/>
      <w:marBottom w:val="0"/>
      <w:divBdr>
        <w:top w:val="none" w:sz="0" w:space="0" w:color="auto"/>
        <w:left w:val="none" w:sz="0" w:space="0" w:color="auto"/>
        <w:bottom w:val="none" w:sz="0" w:space="0" w:color="auto"/>
        <w:right w:val="none" w:sz="0" w:space="0" w:color="auto"/>
      </w:divBdr>
    </w:div>
    <w:div w:id="1278216546">
      <w:bodyDiv w:val="1"/>
      <w:marLeft w:val="0"/>
      <w:marRight w:val="0"/>
      <w:marTop w:val="0"/>
      <w:marBottom w:val="0"/>
      <w:divBdr>
        <w:top w:val="none" w:sz="0" w:space="0" w:color="auto"/>
        <w:left w:val="none" w:sz="0" w:space="0" w:color="auto"/>
        <w:bottom w:val="none" w:sz="0" w:space="0" w:color="auto"/>
        <w:right w:val="none" w:sz="0" w:space="0" w:color="auto"/>
      </w:divBdr>
    </w:div>
    <w:div w:id="1305353903">
      <w:bodyDiv w:val="1"/>
      <w:marLeft w:val="0"/>
      <w:marRight w:val="0"/>
      <w:marTop w:val="0"/>
      <w:marBottom w:val="0"/>
      <w:divBdr>
        <w:top w:val="none" w:sz="0" w:space="0" w:color="auto"/>
        <w:left w:val="none" w:sz="0" w:space="0" w:color="auto"/>
        <w:bottom w:val="none" w:sz="0" w:space="0" w:color="auto"/>
        <w:right w:val="none" w:sz="0" w:space="0" w:color="auto"/>
      </w:divBdr>
    </w:div>
    <w:div w:id="1316568285">
      <w:bodyDiv w:val="1"/>
      <w:marLeft w:val="0"/>
      <w:marRight w:val="0"/>
      <w:marTop w:val="0"/>
      <w:marBottom w:val="0"/>
      <w:divBdr>
        <w:top w:val="none" w:sz="0" w:space="0" w:color="auto"/>
        <w:left w:val="none" w:sz="0" w:space="0" w:color="auto"/>
        <w:bottom w:val="none" w:sz="0" w:space="0" w:color="auto"/>
        <w:right w:val="none" w:sz="0" w:space="0" w:color="auto"/>
      </w:divBdr>
    </w:div>
    <w:div w:id="1341274422">
      <w:bodyDiv w:val="1"/>
      <w:marLeft w:val="0"/>
      <w:marRight w:val="0"/>
      <w:marTop w:val="0"/>
      <w:marBottom w:val="0"/>
      <w:divBdr>
        <w:top w:val="none" w:sz="0" w:space="0" w:color="auto"/>
        <w:left w:val="none" w:sz="0" w:space="0" w:color="auto"/>
        <w:bottom w:val="none" w:sz="0" w:space="0" w:color="auto"/>
        <w:right w:val="none" w:sz="0" w:space="0" w:color="auto"/>
      </w:divBdr>
    </w:div>
    <w:div w:id="1407649436">
      <w:bodyDiv w:val="1"/>
      <w:marLeft w:val="0"/>
      <w:marRight w:val="0"/>
      <w:marTop w:val="0"/>
      <w:marBottom w:val="0"/>
      <w:divBdr>
        <w:top w:val="none" w:sz="0" w:space="0" w:color="auto"/>
        <w:left w:val="none" w:sz="0" w:space="0" w:color="auto"/>
        <w:bottom w:val="none" w:sz="0" w:space="0" w:color="auto"/>
        <w:right w:val="none" w:sz="0" w:space="0" w:color="auto"/>
      </w:divBdr>
    </w:div>
    <w:div w:id="1442989869">
      <w:bodyDiv w:val="1"/>
      <w:marLeft w:val="0"/>
      <w:marRight w:val="0"/>
      <w:marTop w:val="0"/>
      <w:marBottom w:val="0"/>
      <w:divBdr>
        <w:top w:val="none" w:sz="0" w:space="0" w:color="auto"/>
        <w:left w:val="none" w:sz="0" w:space="0" w:color="auto"/>
        <w:bottom w:val="none" w:sz="0" w:space="0" w:color="auto"/>
        <w:right w:val="none" w:sz="0" w:space="0" w:color="auto"/>
      </w:divBdr>
    </w:div>
    <w:div w:id="1469325514">
      <w:bodyDiv w:val="1"/>
      <w:marLeft w:val="0"/>
      <w:marRight w:val="0"/>
      <w:marTop w:val="0"/>
      <w:marBottom w:val="0"/>
      <w:divBdr>
        <w:top w:val="none" w:sz="0" w:space="0" w:color="auto"/>
        <w:left w:val="none" w:sz="0" w:space="0" w:color="auto"/>
        <w:bottom w:val="none" w:sz="0" w:space="0" w:color="auto"/>
        <w:right w:val="none" w:sz="0" w:space="0" w:color="auto"/>
      </w:divBdr>
    </w:div>
    <w:div w:id="1514686533">
      <w:bodyDiv w:val="1"/>
      <w:marLeft w:val="0"/>
      <w:marRight w:val="0"/>
      <w:marTop w:val="0"/>
      <w:marBottom w:val="0"/>
      <w:divBdr>
        <w:top w:val="none" w:sz="0" w:space="0" w:color="auto"/>
        <w:left w:val="none" w:sz="0" w:space="0" w:color="auto"/>
        <w:bottom w:val="none" w:sz="0" w:space="0" w:color="auto"/>
        <w:right w:val="none" w:sz="0" w:space="0" w:color="auto"/>
      </w:divBdr>
    </w:div>
    <w:div w:id="1540703458">
      <w:bodyDiv w:val="1"/>
      <w:marLeft w:val="0"/>
      <w:marRight w:val="0"/>
      <w:marTop w:val="0"/>
      <w:marBottom w:val="0"/>
      <w:divBdr>
        <w:top w:val="none" w:sz="0" w:space="0" w:color="auto"/>
        <w:left w:val="none" w:sz="0" w:space="0" w:color="auto"/>
        <w:bottom w:val="none" w:sz="0" w:space="0" w:color="auto"/>
        <w:right w:val="none" w:sz="0" w:space="0" w:color="auto"/>
      </w:divBdr>
    </w:div>
    <w:div w:id="1545020472">
      <w:bodyDiv w:val="1"/>
      <w:marLeft w:val="0"/>
      <w:marRight w:val="0"/>
      <w:marTop w:val="0"/>
      <w:marBottom w:val="0"/>
      <w:divBdr>
        <w:top w:val="none" w:sz="0" w:space="0" w:color="auto"/>
        <w:left w:val="none" w:sz="0" w:space="0" w:color="auto"/>
        <w:bottom w:val="none" w:sz="0" w:space="0" w:color="auto"/>
        <w:right w:val="none" w:sz="0" w:space="0" w:color="auto"/>
      </w:divBdr>
    </w:div>
    <w:div w:id="1597442038">
      <w:bodyDiv w:val="1"/>
      <w:marLeft w:val="0"/>
      <w:marRight w:val="0"/>
      <w:marTop w:val="0"/>
      <w:marBottom w:val="0"/>
      <w:divBdr>
        <w:top w:val="none" w:sz="0" w:space="0" w:color="auto"/>
        <w:left w:val="none" w:sz="0" w:space="0" w:color="auto"/>
        <w:bottom w:val="none" w:sz="0" w:space="0" w:color="auto"/>
        <w:right w:val="none" w:sz="0" w:space="0" w:color="auto"/>
      </w:divBdr>
      <w:divsChild>
        <w:div w:id="522210575">
          <w:marLeft w:val="0"/>
          <w:marRight w:val="0"/>
          <w:marTop w:val="0"/>
          <w:marBottom w:val="0"/>
          <w:divBdr>
            <w:top w:val="none" w:sz="0" w:space="0" w:color="auto"/>
            <w:left w:val="none" w:sz="0" w:space="0" w:color="auto"/>
            <w:bottom w:val="none" w:sz="0" w:space="0" w:color="auto"/>
            <w:right w:val="none" w:sz="0" w:space="0" w:color="auto"/>
          </w:divBdr>
          <w:divsChild>
            <w:div w:id="1102914536">
              <w:marLeft w:val="0"/>
              <w:marRight w:val="0"/>
              <w:marTop w:val="0"/>
              <w:marBottom w:val="0"/>
              <w:divBdr>
                <w:top w:val="none" w:sz="0" w:space="0" w:color="auto"/>
                <w:left w:val="none" w:sz="0" w:space="0" w:color="auto"/>
                <w:bottom w:val="none" w:sz="0" w:space="0" w:color="auto"/>
                <w:right w:val="none" w:sz="0" w:space="0" w:color="auto"/>
              </w:divBdr>
              <w:divsChild>
                <w:div w:id="114262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285329">
      <w:bodyDiv w:val="1"/>
      <w:marLeft w:val="0"/>
      <w:marRight w:val="0"/>
      <w:marTop w:val="0"/>
      <w:marBottom w:val="0"/>
      <w:divBdr>
        <w:top w:val="none" w:sz="0" w:space="0" w:color="auto"/>
        <w:left w:val="none" w:sz="0" w:space="0" w:color="auto"/>
        <w:bottom w:val="none" w:sz="0" w:space="0" w:color="auto"/>
        <w:right w:val="none" w:sz="0" w:space="0" w:color="auto"/>
      </w:divBdr>
    </w:div>
    <w:div w:id="1637684375">
      <w:bodyDiv w:val="1"/>
      <w:marLeft w:val="0"/>
      <w:marRight w:val="0"/>
      <w:marTop w:val="0"/>
      <w:marBottom w:val="0"/>
      <w:divBdr>
        <w:top w:val="none" w:sz="0" w:space="0" w:color="auto"/>
        <w:left w:val="none" w:sz="0" w:space="0" w:color="auto"/>
        <w:bottom w:val="none" w:sz="0" w:space="0" w:color="auto"/>
        <w:right w:val="none" w:sz="0" w:space="0" w:color="auto"/>
      </w:divBdr>
    </w:div>
    <w:div w:id="1677465070">
      <w:bodyDiv w:val="1"/>
      <w:marLeft w:val="0"/>
      <w:marRight w:val="0"/>
      <w:marTop w:val="0"/>
      <w:marBottom w:val="0"/>
      <w:divBdr>
        <w:top w:val="none" w:sz="0" w:space="0" w:color="auto"/>
        <w:left w:val="none" w:sz="0" w:space="0" w:color="auto"/>
        <w:bottom w:val="none" w:sz="0" w:space="0" w:color="auto"/>
        <w:right w:val="none" w:sz="0" w:space="0" w:color="auto"/>
      </w:divBdr>
      <w:divsChild>
        <w:div w:id="594289669">
          <w:marLeft w:val="0"/>
          <w:marRight w:val="0"/>
          <w:marTop w:val="0"/>
          <w:marBottom w:val="0"/>
          <w:divBdr>
            <w:top w:val="none" w:sz="0" w:space="0" w:color="auto"/>
            <w:left w:val="none" w:sz="0" w:space="0" w:color="auto"/>
            <w:bottom w:val="none" w:sz="0" w:space="0" w:color="auto"/>
            <w:right w:val="none" w:sz="0" w:space="0" w:color="auto"/>
          </w:divBdr>
          <w:divsChild>
            <w:div w:id="2060594270">
              <w:marLeft w:val="0"/>
              <w:marRight w:val="0"/>
              <w:marTop w:val="0"/>
              <w:marBottom w:val="0"/>
              <w:divBdr>
                <w:top w:val="none" w:sz="0" w:space="0" w:color="auto"/>
                <w:left w:val="none" w:sz="0" w:space="0" w:color="auto"/>
                <w:bottom w:val="none" w:sz="0" w:space="0" w:color="auto"/>
                <w:right w:val="none" w:sz="0" w:space="0" w:color="auto"/>
              </w:divBdr>
              <w:divsChild>
                <w:div w:id="14886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594851">
      <w:bodyDiv w:val="1"/>
      <w:marLeft w:val="0"/>
      <w:marRight w:val="0"/>
      <w:marTop w:val="0"/>
      <w:marBottom w:val="0"/>
      <w:divBdr>
        <w:top w:val="none" w:sz="0" w:space="0" w:color="auto"/>
        <w:left w:val="none" w:sz="0" w:space="0" w:color="auto"/>
        <w:bottom w:val="none" w:sz="0" w:space="0" w:color="auto"/>
        <w:right w:val="none" w:sz="0" w:space="0" w:color="auto"/>
      </w:divBdr>
    </w:div>
    <w:div w:id="1700206896">
      <w:bodyDiv w:val="1"/>
      <w:marLeft w:val="0"/>
      <w:marRight w:val="0"/>
      <w:marTop w:val="0"/>
      <w:marBottom w:val="0"/>
      <w:divBdr>
        <w:top w:val="none" w:sz="0" w:space="0" w:color="auto"/>
        <w:left w:val="none" w:sz="0" w:space="0" w:color="auto"/>
        <w:bottom w:val="none" w:sz="0" w:space="0" w:color="auto"/>
        <w:right w:val="none" w:sz="0" w:space="0" w:color="auto"/>
      </w:divBdr>
    </w:div>
    <w:div w:id="1711568350">
      <w:bodyDiv w:val="1"/>
      <w:marLeft w:val="0"/>
      <w:marRight w:val="0"/>
      <w:marTop w:val="0"/>
      <w:marBottom w:val="0"/>
      <w:divBdr>
        <w:top w:val="none" w:sz="0" w:space="0" w:color="auto"/>
        <w:left w:val="none" w:sz="0" w:space="0" w:color="auto"/>
        <w:bottom w:val="none" w:sz="0" w:space="0" w:color="auto"/>
        <w:right w:val="none" w:sz="0" w:space="0" w:color="auto"/>
      </w:divBdr>
      <w:divsChild>
        <w:div w:id="256985228">
          <w:marLeft w:val="0"/>
          <w:marRight w:val="0"/>
          <w:marTop w:val="0"/>
          <w:marBottom w:val="0"/>
          <w:divBdr>
            <w:top w:val="none" w:sz="0" w:space="0" w:color="auto"/>
            <w:left w:val="none" w:sz="0" w:space="0" w:color="auto"/>
            <w:bottom w:val="none" w:sz="0" w:space="0" w:color="auto"/>
            <w:right w:val="none" w:sz="0" w:space="0" w:color="auto"/>
          </w:divBdr>
        </w:div>
        <w:div w:id="656032181">
          <w:marLeft w:val="0"/>
          <w:marRight w:val="0"/>
          <w:marTop w:val="0"/>
          <w:marBottom w:val="0"/>
          <w:divBdr>
            <w:top w:val="none" w:sz="0" w:space="0" w:color="auto"/>
            <w:left w:val="none" w:sz="0" w:space="0" w:color="auto"/>
            <w:bottom w:val="none" w:sz="0" w:space="0" w:color="auto"/>
            <w:right w:val="none" w:sz="0" w:space="0" w:color="auto"/>
          </w:divBdr>
        </w:div>
        <w:div w:id="1025443791">
          <w:marLeft w:val="0"/>
          <w:marRight w:val="0"/>
          <w:marTop w:val="0"/>
          <w:marBottom w:val="0"/>
          <w:divBdr>
            <w:top w:val="none" w:sz="0" w:space="0" w:color="auto"/>
            <w:left w:val="none" w:sz="0" w:space="0" w:color="auto"/>
            <w:bottom w:val="none" w:sz="0" w:space="0" w:color="auto"/>
            <w:right w:val="none" w:sz="0" w:space="0" w:color="auto"/>
          </w:divBdr>
        </w:div>
        <w:div w:id="1959604651">
          <w:marLeft w:val="0"/>
          <w:marRight w:val="0"/>
          <w:marTop w:val="0"/>
          <w:marBottom w:val="0"/>
          <w:divBdr>
            <w:top w:val="none" w:sz="0" w:space="0" w:color="auto"/>
            <w:left w:val="none" w:sz="0" w:space="0" w:color="auto"/>
            <w:bottom w:val="none" w:sz="0" w:space="0" w:color="auto"/>
            <w:right w:val="none" w:sz="0" w:space="0" w:color="auto"/>
          </w:divBdr>
        </w:div>
      </w:divsChild>
    </w:div>
    <w:div w:id="1724671091">
      <w:bodyDiv w:val="1"/>
      <w:marLeft w:val="0"/>
      <w:marRight w:val="0"/>
      <w:marTop w:val="0"/>
      <w:marBottom w:val="0"/>
      <w:divBdr>
        <w:top w:val="none" w:sz="0" w:space="0" w:color="auto"/>
        <w:left w:val="none" w:sz="0" w:space="0" w:color="auto"/>
        <w:bottom w:val="none" w:sz="0" w:space="0" w:color="auto"/>
        <w:right w:val="none" w:sz="0" w:space="0" w:color="auto"/>
      </w:divBdr>
    </w:div>
    <w:div w:id="1829131119">
      <w:bodyDiv w:val="1"/>
      <w:marLeft w:val="0"/>
      <w:marRight w:val="0"/>
      <w:marTop w:val="0"/>
      <w:marBottom w:val="0"/>
      <w:divBdr>
        <w:top w:val="none" w:sz="0" w:space="0" w:color="auto"/>
        <w:left w:val="none" w:sz="0" w:space="0" w:color="auto"/>
        <w:bottom w:val="none" w:sz="0" w:space="0" w:color="auto"/>
        <w:right w:val="none" w:sz="0" w:space="0" w:color="auto"/>
      </w:divBdr>
    </w:div>
    <w:div w:id="1874881196">
      <w:bodyDiv w:val="1"/>
      <w:marLeft w:val="0"/>
      <w:marRight w:val="0"/>
      <w:marTop w:val="0"/>
      <w:marBottom w:val="0"/>
      <w:divBdr>
        <w:top w:val="none" w:sz="0" w:space="0" w:color="auto"/>
        <w:left w:val="none" w:sz="0" w:space="0" w:color="auto"/>
        <w:bottom w:val="none" w:sz="0" w:space="0" w:color="auto"/>
        <w:right w:val="none" w:sz="0" w:space="0" w:color="auto"/>
      </w:divBdr>
    </w:div>
    <w:div w:id="1880774140">
      <w:bodyDiv w:val="1"/>
      <w:marLeft w:val="0"/>
      <w:marRight w:val="0"/>
      <w:marTop w:val="0"/>
      <w:marBottom w:val="0"/>
      <w:divBdr>
        <w:top w:val="none" w:sz="0" w:space="0" w:color="auto"/>
        <w:left w:val="none" w:sz="0" w:space="0" w:color="auto"/>
        <w:bottom w:val="none" w:sz="0" w:space="0" w:color="auto"/>
        <w:right w:val="none" w:sz="0" w:space="0" w:color="auto"/>
      </w:divBdr>
    </w:div>
    <w:div w:id="1905873750">
      <w:bodyDiv w:val="1"/>
      <w:marLeft w:val="0"/>
      <w:marRight w:val="0"/>
      <w:marTop w:val="0"/>
      <w:marBottom w:val="0"/>
      <w:divBdr>
        <w:top w:val="none" w:sz="0" w:space="0" w:color="auto"/>
        <w:left w:val="none" w:sz="0" w:space="0" w:color="auto"/>
        <w:bottom w:val="none" w:sz="0" w:space="0" w:color="auto"/>
        <w:right w:val="none" w:sz="0" w:space="0" w:color="auto"/>
      </w:divBdr>
    </w:div>
    <w:div w:id="1935622813">
      <w:bodyDiv w:val="1"/>
      <w:marLeft w:val="0"/>
      <w:marRight w:val="0"/>
      <w:marTop w:val="0"/>
      <w:marBottom w:val="0"/>
      <w:divBdr>
        <w:top w:val="none" w:sz="0" w:space="0" w:color="auto"/>
        <w:left w:val="none" w:sz="0" w:space="0" w:color="auto"/>
        <w:bottom w:val="none" w:sz="0" w:space="0" w:color="auto"/>
        <w:right w:val="none" w:sz="0" w:space="0" w:color="auto"/>
      </w:divBdr>
    </w:div>
    <w:div w:id="1942493277">
      <w:bodyDiv w:val="1"/>
      <w:marLeft w:val="0"/>
      <w:marRight w:val="0"/>
      <w:marTop w:val="0"/>
      <w:marBottom w:val="0"/>
      <w:divBdr>
        <w:top w:val="none" w:sz="0" w:space="0" w:color="auto"/>
        <w:left w:val="none" w:sz="0" w:space="0" w:color="auto"/>
        <w:bottom w:val="none" w:sz="0" w:space="0" w:color="auto"/>
        <w:right w:val="none" w:sz="0" w:space="0" w:color="auto"/>
      </w:divBdr>
    </w:div>
    <w:div w:id="1958217211">
      <w:bodyDiv w:val="1"/>
      <w:marLeft w:val="0"/>
      <w:marRight w:val="0"/>
      <w:marTop w:val="0"/>
      <w:marBottom w:val="0"/>
      <w:divBdr>
        <w:top w:val="none" w:sz="0" w:space="0" w:color="auto"/>
        <w:left w:val="none" w:sz="0" w:space="0" w:color="auto"/>
        <w:bottom w:val="none" w:sz="0" w:space="0" w:color="auto"/>
        <w:right w:val="none" w:sz="0" w:space="0" w:color="auto"/>
      </w:divBdr>
    </w:div>
    <w:div w:id="1989018896">
      <w:bodyDiv w:val="1"/>
      <w:marLeft w:val="0"/>
      <w:marRight w:val="0"/>
      <w:marTop w:val="0"/>
      <w:marBottom w:val="0"/>
      <w:divBdr>
        <w:top w:val="none" w:sz="0" w:space="0" w:color="auto"/>
        <w:left w:val="none" w:sz="0" w:space="0" w:color="auto"/>
        <w:bottom w:val="none" w:sz="0" w:space="0" w:color="auto"/>
        <w:right w:val="none" w:sz="0" w:space="0" w:color="auto"/>
      </w:divBdr>
    </w:div>
    <w:div w:id="2007051510">
      <w:bodyDiv w:val="1"/>
      <w:marLeft w:val="0"/>
      <w:marRight w:val="0"/>
      <w:marTop w:val="0"/>
      <w:marBottom w:val="0"/>
      <w:divBdr>
        <w:top w:val="none" w:sz="0" w:space="0" w:color="auto"/>
        <w:left w:val="none" w:sz="0" w:space="0" w:color="auto"/>
        <w:bottom w:val="none" w:sz="0" w:space="0" w:color="auto"/>
        <w:right w:val="none" w:sz="0" w:space="0" w:color="auto"/>
      </w:divBdr>
    </w:div>
    <w:div w:id="2050302288">
      <w:bodyDiv w:val="1"/>
      <w:marLeft w:val="0"/>
      <w:marRight w:val="0"/>
      <w:marTop w:val="0"/>
      <w:marBottom w:val="0"/>
      <w:divBdr>
        <w:top w:val="none" w:sz="0" w:space="0" w:color="auto"/>
        <w:left w:val="none" w:sz="0" w:space="0" w:color="auto"/>
        <w:bottom w:val="none" w:sz="0" w:space="0" w:color="auto"/>
        <w:right w:val="none" w:sz="0" w:space="0" w:color="auto"/>
      </w:divBdr>
    </w:div>
    <w:div w:id="2072804317">
      <w:bodyDiv w:val="1"/>
      <w:marLeft w:val="0"/>
      <w:marRight w:val="0"/>
      <w:marTop w:val="0"/>
      <w:marBottom w:val="0"/>
      <w:divBdr>
        <w:top w:val="none" w:sz="0" w:space="0" w:color="auto"/>
        <w:left w:val="none" w:sz="0" w:space="0" w:color="auto"/>
        <w:bottom w:val="none" w:sz="0" w:space="0" w:color="auto"/>
        <w:right w:val="none" w:sz="0" w:space="0" w:color="auto"/>
      </w:divBdr>
    </w:div>
    <w:div w:id="2083480718">
      <w:bodyDiv w:val="1"/>
      <w:marLeft w:val="0"/>
      <w:marRight w:val="0"/>
      <w:marTop w:val="0"/>
      <w:marBottom w:val="0"/>
      <w:divBdr>
        <w:top w:val="none" w:sz="0" w:space="0" w:color="auto"/>
        <w:left w:val="none" w:sz="0" w:space="0" w:color="auto"/>
        <w:bottom w:val="none" w:sz="0" w:space="0" w:color="auto"/>
        <w:right w:val="none" w:sz="0" w:space="0" w:color="auto"/>
      </w:divBdr>
    </w:div>
    <w:div w:id="2085225810">
      <w:bodyDiv w:val="1"/>
      <w:marLeft w:val="0"/>
      <w:marRight w:val="0"/>
      <w:marTop w:val="0"/>
      <w:marBottom w:val="0"/>
      <w:divBdr>
        <w:top w:val="none" w:sz="0" w:space="0" w:color="auto"/>
        <w:left w:val="none" w:sz="0" w:space="0" w:color="auto"/>
        <w:bottom w:val="none" w:sz="0" w:space="0" w:color="auto"/>
        <w:right w:val="none" w:sz="0" w:space="0" w:color="auto"/>
      </w:divBdr>
    </w:div>
    <w:div w:id="2121338981">
      <w:bodyDiv w:val="1"/>
      <w:marLeft w:val="0"/>
      <w:marRight w:val="0"/>
      <w:marTop w:val="0"/>
      <w:marBottom w:val="0"/>
      <w:divBdr>
        <w:top w:val="none" w:sz="0" w:space="0" w:color="auto"/>
        <w:left w:val="none" w:sz="0" w:space="0" w:color="auto"/>
        <w:bottom w:val="none" w:sz="0" w:space="0" w:color="auto"/>
        <w:right w:val="none" w:sz="0" w:space="0" w:color="auto"/>
      </w:divBdr>
    </w:div>
    <w:div w:id="2125222953">
      <w:bodyDiv w:val="1"/>
      <w:marLeft w:val="0"/>
      <w:marRight w:val="0"/>
      <w:marTop w:val="0"/>
      <w:marBottom w:val="0"/>
      <w:divBdr>
        <w:top w:val="none" w:sz="0" w:space="0" w:color="auto"/>
        <w:left w:val="none" w:sz="0" w:space="0" w:color="auto"/>
        <w:bottom w:val="none" w:sz="0" w:space="0" w:color="auto"/>
        <w:right w:val="none" w:sz="0" w:space="0" w:color="auto"/>
      </w:divBdr>
    </w:div>
    <w:div w:id="2136026043">
      <w:bodyDiv w:val="1"/>
      <w:marLeft w:val="0"/>
      <w:marRight w:val="0"/>
      <w:marTop w:val="0"/>
      <w:marBottom w:val="0"/>
      <w:divBdr>
        <w:top w:val="none" w:sz="0" w:space="0" w:color="auto"/>
        <w:left w:val="none" w:sz="0" w:space="0" w:color="auto"/>
        <w:bottom w:val="none" w:sz="0" w:space="0" w:color="auto"/>
        <w:right w:val="none" w:sz="0" w:space="0" w:color="auto"/>
      </w:divBdr>
      <w:divsChild>
        <w:div w:id="986515867">
          <w:marLeft w:val="0"/>
          <w:marRight w:val="0"/>
          <w:marTop w:val="0"/>
          <w:marBottom w:val="0"/>
          <w:divBdr>
            <w:top w:val="none" w:sz="0" w:space="0" w:color="auto"/>
            <w:left w:val="none" w:sz="0" w:space="0" w:color="auto"/>
            <w:bottom w:val="none" w:sz="0" w:space="0" w:color="auto"/>
            <w:right w:val="none" w:sz="0" w:space="0" w:color="auto"/>
          </w:divBdr>
          <w:divsChild>
            <w:div w:id="1452281692">
              <w:marLeft w:val="0"/>
              <w:marRight w:val="0"/>
              <w:marTop w:val="0"/>
              <w:marBottom w:val="0"/>
              <w:divBdr>
                <w:top w:val="none" w:sz="0" w:space="0" w:color="auto"/>
                <w:left w:val="none" w:sz="0" w:space="0" w:color="auto"/>
                <w:bottom w:val="none" w:sz="0" w:space="0" w:color="auto"/>
                <w:right w:val="none" w:sz="0" w:space="0" w:color="auto"/>
              </w:divBdr>
              <w:divsChild>
                <w:div w:id="15492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40806">
      <w:bodyDiv w:val="1"/>
      <w:marLeft w:val="0"/>
      <w:marRight w:val="0"/>
      <w:marTop w:val="0"/>
      <w:marBottom w:val="0"/>
      <w:divBdr>
        <w:top w:val="none" w:sz="0" w:space="0" w:color="auto"/>
        <w:left w:val="none" w:sz="0" w:space="0" w:color="auto"/>
        <w:bottom w:val="none" w:sz="0" w:space="0" w:color="auto"/>
        <w:right w:val="none" w:sz="0" w:space="0" w:color="auto"/>
      </w:divBdr>
    </w:div>
    <w:div w:id="2137410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jpeg"/><Relationship Id="rId25" Type="http://schemas.openxmlformats.org/officeDocument/2006/relationships/hyperlink" Target="http://www.seraustralasia.com" TargetMode="External"/><Relationship Id="rId2" Type="http://schemas.openxmlformats.org/officeDocument/2006/relationships/numbering" Target="numbering.xml"/><Relationship Id="rId16" Type="http://schemas.openxmlformats.org/officeDocument/2006/relationships/image" Target="https://home.heinonline.org/wp-content/uploads/2020/09/SAGE_Logo.png"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image" Target="https://home.heinonline.org/wp-content/uploads/2020/09/SAGE_Logo.png" TargetMode="External"/><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92525-FF43-4A72-9D58-F864522C5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61</Pages>
  <Words>30065</Words>
  <Characters>171374</Characters>
  <Application>Microsoft Office Word</Application>
  <DocSecurity>0</DocSecurity>
  <Lines>1428</Lines>
  <Paragraphs>402</Paragraphs>
  <ScaleCrop>false</ScaleCrop>
  <HeadingPairs>
    <vt:vector size="12" baseType="variant">
      <vt:variant>
        <vt:lpstr>Title</vt:lpstr>
      </vt:variant>
      <vt:variant>
        <vt:i4>1</vt:i4>
      </vt:variant>
      <vt:variant>
        <vt:lpstr>タイトル</vt:lpstr>
      </vt:variant>
      <vt:variant>
        <vt:i4>1</vt:i4>
      </vt:variant>
      <vt:variant>
        <vt:lpstr>Título</vt:lpstr>
      </vt:variant>
      <vt:variant>
        <vt:i4>1</vt:i4>
      </vt:variant>
      <vt:variant>
        <vt:lpstr>Títulos</vt:lpstr>
      </vt:variant>
      <vt:variant>
        <vt:i4>27</vt:i4>
      </vt:variant>
      <vt:variant>
        <vt:lpstr>Titre</vt:lpstr>
      </vt:variant>
      <vt:variant>
        <vt:i4>1</vt:i4>
      </vt:variant>
      <vt:variant>
        <vt:lpstr>Название</vt:lpstr>
      </vt:variant>
      <vt:variant>
        <vt:i4>1</vt:i4>
      </vt:variant>
    </vt:vector>
  </HeadingPairs>
  <TitlesOfParts>
    <vt:vector size="32" baseType="lpstr">
      <vt:lpstr/>
      <vt:lpstr/>
      <vt:lpstr/>
      <vt:lpstr>Abstract–This publication addresses the protection of workers, the public, and t</vt:lpstr>
      <vt:lpstr>MAIN POINTS</vt:lpstr>
      <vt:lpstr>INTRODUCTION</vt:lpstr>
      <vt:lpstr>    Background</vt:lpstr>
      <vt:lpstr>    Scope</vt:lpstr>
      <vt:lpstr>    Structure of publication</vt:lpstr>
      <vt:lpstr>CHARACTERISTICS OF EXPOSURES FROM CONTAMINATED AREAS BY PAST ACTIVITIES</vt:lpstr>
      <vt:lpstr>    Exposure pathways and scenarios</vt:lpstr>
      <vt:lpstr>    Overview of case studies</vt:lpstr>
      <vt:lpstr>    </vt:lpstr>
      <vt:lpstr>    Practical experience from case studies</vt:lpstr>
      <vt:lpstr>FUNDAMENTAL CONSIDERATIONS OF THE APPLICATION OF THE SYSTEM OF RADIOLOGICAL PROT</vt:lpstr>
      <vt:lpstr>    The radiological protection system and ethical considerations</vt:lpstr>
      <vt:lpstr>    Type of exposure situation</vt:lpstr>
      <vt:lpstr>    Justification of protection strategy</vt:lpstr>
      <vt:lpstr>    Optimisation of protection</vt:lpstr>
      <vt:lpstr>    Stakeholder engagement</vt:lpstr>
      <vt:lpstr>IMPLEMENTATION OF THE COMMISSION’S SYSTEM OF RADIOLOGICAL PROTECTION TO AREAS CO</vt:lpstr>
      <vt:lpstr>    General considerations</vt:lpstr>
      <vt:lpstr>    Recognition of the exposure situation</vt:lpstr>
      <vt:lpstr>    Characterisation of the exposure situation</vt:lpstr>
      <vt:lpstr>    Planning of remediation</vt:lpstr>
      <vt:lpstr>        Protecting the public</vt:lpstr>
      <vt:lpstr>        Health surveillance</vt:lpstr>
      <vt:lpstr>        Protecting the environment</vt:lpstr>
      <vt:lpstr>        Protecting remediation workers</vt:lpstr>
      <vt:lpstr>        4.4.4.	Selecting remedial actions</vt:lpstr>
      <vt:lpstr/>
      <vt:lpstr/>
    </vt:vector>
  </TitlesOfParts>
  <Company>ICRP</Company>
  <LinksUpToDate>false</LinksUpToDate>
  <CharactersWithSpaces>201037</CharactersWithSpaces>
  <SharedDoc>false</SharedDoc>
  <HyperlinkBase/>
  <HLinks>
    <vt:vector size="198" baseType="variant">
      <vt:variant>
        <vt:i4>3080286</vt:i4>
      </vt:variant>
      <vt:variant>
        <vt:i4>300</vt:i4>
      </vt:variant>
      <vt:variant>
        <vt:i4>0</vt:i4>
      </vt:variant>
      <vt:variant>
        <vt:i4>5</vt:i4>
      </vt:variant>
      <vt:variant>
        <vt:lpwstr>mailto:sci.sec@icrp.org</vt:lpwstr>
      </vt:variant>
      <vt:variant>
        <vt:lpwstr/>
      </vt:variant>
      <vt:variant>
        <vt:i4>6619144</vt:i4>
      </vt:variant>
      <vt:variant>
        <vt:i4>204</vt:i4>
      </vt:variant>
      <vt:variant>
        <vt:i4>0</vt:i4>
      </vt:variant>
      <vt:variant>
        <vt:i4>5</vt:i4>
      </vt:variant>
      <vt:variant>
        <vt:lpwstr>http://www.who.int/healthinfo/mortality_data/en/</vt:lpwstr>
      </vt:variant>
      <vt:variant>
        <vt:lpwstr/>
      </vt:variant>
      <vt:variant>
        <vt:i4>2359301</vt:i4>
      </vt:variant>
      <vt:variant>
        <vt:i4>182</vt:i4>
      </vt:variant>
      <vt:variant>
        <vt:i4>0</vt:i4>
      </vt:variant>
      <vt:variant>
        <vt:i4>5</vt:i4>
      </vt:variant>
      <vt:variant>
        <vt:lpwstr/>
      </vt:variant>
      <vt:variant>
        <vt:lpwstr>_Toc5464636</vt:lpwstr>
      </vt:variant>
      <vt:variant>
        <vt:i4>2359301</vt:i4>
      </vt:variant>
      <vt:variant>
        <vt:i4>176</vt:i4>
      </vt:variant>
      <vt:variant>
        <vt:i4>0</vt:i4>
      </vt:variant>
      <vt:variant>
        <vt:i4>5</vt:i4>
      </vt:variant>
      <vt:variant>
        <vt:lpwstr/>
      </vt:variant>
      <vt:variant>
        <vt:lpwstr>_Toc5464635</vt:lpwstr>
      </vt:variant>
      <vt:variant>
        <vt:i4>2359301</vt:i4>
      </vt:variant>
      <vt:variant>
        <vt:i4>170</vt:i4>
      </vt:variant>
      <vt:variant>
        <vt:i4>0</vt:i4>
      </vt:variant>
      <vt:variant>
        <vt:i4>5</vt:i4>
      </vt:variant>
      <vt:variant>
        <vt:lpwstr/>
      </vt:variant>
      <vt:variant>
        <vt:lpwstr>_Toc5464634</vt:lpwstr>
      </vt:variant>
      <vt:variant>
        <vt:i4>2359301</vt:i4>
      </vt:variant>
      <vt:variant>
        <vt:i4>164</vt:i4>
      </vt:variant>
      <vt:variant>
        <vt:i4>0</vt:i4>
      </vt:variant>
      <vt:variant>
        <vt:i4>5</vt:i4>
      </vt:variant>
      <vt:variant>
        <vt:lpwstr/>
      </vt:variant>
      <vt:variant>
        <vt:lpwstr>_Toc5464633</vt:lpwstr>
      </vt:variant>
      <vt:variant>
        <vt:i4>2359301</vt:i4>
      </vt:variant>
      <vt:variant>
        <vt:i4>158</vt:i4>
      </vt:variant>
      <vt:variant>
        <vt:i4>0</vt:i4>
      </vt:variant>
      <vt:variant>
        <vt:i4>5</vt:i4>
      </vt:variant>
      <vt:variant>
        <vt:lpwstr/>
      </vt:variant>
      <vt:variant>
        <vt:lpwstr>_Toc5464632</vt:lpwstr>
      </vt:variant>
      <vt:variant>
        <vt:i4>2359301</vt:i4>
      </vt:variant>
      <vt:variant>
        <vt:i4>152</vt:i4>
      </vt:variant>
      <vt:variant>
        <vt:i4>0</vt:i4>
      </vt:variant>
      <vt:variant>
        <vt:i4>5</vt:i4>
      </vt:variant>
      <vt:variant>
        <vt:lpwstr/>
      </vt:variant>
      <vt:variant>
        <vt:lpwstr>_Toc5464631</vt:lpwstr>
      </vt:variant>
      <vt:variant>
        <vt:i4>2359301</vt:i4>
      </vt:variant>
      <vt:variant>
        <vt:i4>146</vt:i4>
      </vt:variant>
      <vt:variant>
        <vt:i4>0</vt:i4>
      </vt:variant>
      <vt:variant>
        <vt:i4>5</vt:i4>
      </vt:variant>
      <vt:variant>
        <vt:lpwstr/>
      </vt:variant>
      <vt:variant>
        <vt:lpwstr>_Toc5464630</vt:lpwstr>
      </vt:variant>
      <vt:variant>
        <vt:i4>2424837</vt:i4>
      </vt:variant>
      <vt:variant>
        <vt:i4>140</vt:i4>
      </vt:variant>
      <vt:variant>
        <vt:i4>0</vt:i4>
      </vt:variant>
      <vt:variant>
        <vt:i4>5</vt:i4>
      </vt:variant>
      <vt:variant>
        <vt:lpwstr/>
      </vt:variant>
      <vt:variant>
        <vt:lpwstr>_Toc5464629</vt:lpwstr>
      </vt:variant>
      <vt:variant>
        <vt:i4>2424837</vt:i4>
      </vt:variant>
      <vt:variant>
        <vt:i4>134</vt:i4>
      </vt:variant>
      <vt:variant>
        <vt:i4>0</vt:i4>
      </vt:variant>
      <vt:variant>
        <vt:i4>5</vt:i4>
      </vt:variant>
      <vt:variant>
        <vt:lpwstr/>
      </vt:variant>
      <vt:variant>
        <vt:lpwstr>_Toc5464626</vt:lpwstr>
      </vt:variant>
      <vt:variant>
        <vt:i4>2424837</vt:i4>
      </vt:variant>
      <vt:variant>
        <vt:i4>128</vt:i4>
      </vt:variant>
      <vt:variant>
        <vt:i4>0</vt:i4>
      </vt:variant>
      <vt:variant>
        <vt:i4>5</vt:i4>
      </vt:variant>
      <vt:variant>
        <vt:lpwstr/>
      </vt:variant>
      <vt:variant>
        <vt:lpwstr>_Toc5464625</vt:lpwstr>
      </vt:variant>
      <vt:variant>
        <vt:i4>2424837</vt:i4>
      </vt:variant>
      <vt:variant>
        <vt:i4>122</vt:i4>
      </vt:variant>
      <vt:variant>
        <vt:i4>0</vt:i4>
      </vt:variant>
      <vt:variant>
        <vt:i4>5</vt:i4>
      </vt:variant>
      <vt:variant>
        <vt:lpwstr/>
      </vt:variant>
      <vt:variant>
        <vt:lpwstr>_Toc5464624</vt:lpwstr>
      </vt:variant>
      <vt:variant>
        <vt:i4>2424837</vt:i4>
      </vt:variant>
      <vt:variant>
        <vt:i4>116</vt:i4>
      </vt:variant>
      <vt:variant>
        <vt:i4>0</vt:i4>
      </vt:variant>
      <vt:variant>
        <vt:i4>5</vt:i4>
      </vt:variant>
      <vt:variant>
        <vt:lpwstr/>
      </vt:variant>
      <vt:variant>
        <vt:lpwstr>_Toc5464623</vt:lpwstr>
      </vt:variant>
      <vt:variant>
        <vt:i4>2424837</vt:i4>
      </vt:variant>
      <vt:variant>
        <vt:i4>110</vt:i4>
      </vt:variant>
      <vt:variant>
        <vt:i4>0</vt:i4>
      </vt:variant>
      <vt:variant>
        <vt:i4>5</vt:i4>
      </vt:variant>
      <vt:variant>
        <vt:lpwstr/>
      </vt:variant>
      <vt:variant>
        <vt:lpwstr>_Toc5464622</vt:lpwstr>
      </vt:variant>
      <vt:variant>
        <vt:i4>2424837</vt:i4>
      </vt:variant>
      <vt:variant>
        <vt:i4>104</vt:i4>
      </vt:variant>
      <vt:variant>
        <vt:i4>0</vt:i4>
      </vt:variant>
      <vt:variant>
        <vt:i4>5</vt:i4>
      </vt:variant>
      <vt:variant>
        <vt:lpwstr/>
      </vt:variant>
      <vt:variant>
        <vt:lpwstr>_Toc5464621</vt:lpwstr>
      </vt:variant>
      <vt:variant>
        <vt:i4>2490373</vt:i4>
      </vt:variant>
      <vt:variant>
        <vt:i4>98</vt:i4>
      </vt:variant>
      <vt:variant>
        <vt:i4>0</vt:i4>
      </vt:variant>
      <vt:variant>
        <vt:i4>5</vt:i4>
      </vt:variant>
      <vt:variant>
        <vt:lpwstr/>
      </vt:variant>
      <vt:variant>
        <vt:lpwstr>_Toc5464618</vt:lpwstr>
      </vt:variant>
      <vt:variant>
        <vt:i4>2490373</vt:i4>
      </vt:variant>
      <vt:variant>
        <vt:i4>92</vt:i4>
      </vt:variant>
      <vt:variant>
        <vt:i4>0</vt:i4>
      </vt:variant>
      <vt:variant>
        <vt:i4>5</vt:i4>
      </vt:variant>
      <vt:variant>
        <vt:lpwstr/>
      </vt:variant>
      <vt:variant>
        <vt:lpwstr>_Toc5464617</vt:lpwstr>
      </vt:variant>
      <vt:variant>
        <vt:i4>2490373</vt:i4>
      </vt:variant>
      <vt:variant>
        <vt:i4>86</vt:i4>
      </vt:variant>
      <vt:variant>
        <vt:i4>0</vt:i4>
      </vt:variant>
      <vt:variant>
        <vt:i4>5</vt:i4>
      </vt:variant>
      <vt:variant>
        <vt:lpwstr/>
      </vt:variant>
      <vt:variant>
        <vt:lpwstr>_Toc5464616</vt:lpwstr>
      </vt:variant>
      <vt:variant>
        <vt:i4>2490373</vt:i4>
      </vt:variant>
      <vt:variant>
        <vt:i4>80</vt:i4>
      </vt:variant>
      <vt:variant>
        <vt:i4>0</vt:i4>
      </vt:variant>
      <vt:variant>
        <vt:i4>5</vt:i4>
      </vt:variant>
      <vt:variant>
        <vt:lpwstr/>
      </vt:variant>
      <vt:variant>
        <vt:lpwstr>_Toc5464615</vt:lpwstr>
      </vt:variant>
      <vt:variant>
        <vt:i4>2490373</vt:i4>
      </vt:variant>
      <vt:variant>
        <vt:i4>74</vt:i4>
      </vt:variant>
      <vt:variant>
        <vt:i4>0</vt:i4>
      </vt:variant>
      <vt:variant>
        <vt:i4>5</vt:i4>
      </vt:variant>
      <vt:variant>
        <vt:lpwstr/>
      </vt:variant>
      <vt:variant>
        <vt:lpwstr>_Toc5464614</vt:lpwstr>
      </vt:variant>
      <vt:variant>
        <vt:i4>2490373</vt:i4>
      </vt:variant>
      <vt:variant>
        <vt:i4>68</vt:i4>
      </vt:variant>
      <vt:variant>
        <vt:i4>0</vt:i4>
      </vt:variant>
      <vt:variant>
        <vt:i4>5</vt:i4>
      </vt:variant>
      <vt:variant>
        <vt:lpwstr/>
      </vt:variant>
      <vt:variant>
        <vt:lpwstr>_Toc5464613</vt:lpwstr>
      </vt:variant>
      <vt:variant>
        <vt:i4>2490373</vt:i4>
      </vt:variant>
      <vt:variant>
        <vt:i4>62</vt:i4>
      </vt:variant>
      <vt:variant>
        <vt:i4>0</vt:i4>
      </vt:variant>
      <vt:variant>
        <vt:i4>5</vt:i4>
      </vt:variant>
      <vt:variant>
        <vt:lpwstr/>
      </vt:variant>
      <vt:variant>
        <vt:lpwstr>_Toc5464612</vt:lpwstr>
      </vt:variant>
      <vt:variant>
        <vt:i4>2490373</vt:i4>
      </vt:variant>
      <vt:variant>
        <vt:i4>56</vt:i4>
      </vt:variant>
      <vt:variant>
        <vt:i4>0</vt:i4>
      </vt:variant>
      <vt:variant>
        <vt:i4>5</vt:i4>
      </vt:variant>
      <vt:variant>
        <vt:lpwstr/>
      </vt:variant>
      <vt:variant>
        <vt:lpwstr>_Toc5464611</vt:lpwstr>
      </vt:variant>
      <vt:variant>
        <vt:i4>2490373</vt:i4>
      </vt:variant>
      <vt:variant>
        <vt:i4>50</vt:i4>
      </vt:variant>
      <vt:variant>
        <vt:i4>0</vt:i4>
      </vt:variant>
      <vt:variant>
        <vt:i4>5</vt:i4>
      </vt:variant>
      <vt:variant>
        <vt:lpwstr/>
      </vt:variant>
      <vt:variant>
        <vt:lpwstr>_Toc5464610</vt:lpwstr>
      </vt:variant>
      <vt:variant>
        <vt:i4>2555909</vt:i4>
      </vt:variant>
      <vt:variant>
        <vt:i4>44</vt:i4>
      </vt:variant>
      <vt:variant>
        <vt:i4>0</vt:i4>
      </vt:variant>
      <vt:variant>
        <vt:i4>5</vt:i4>
      </vt:variant>
      <vt:variant>
        <vt:lpwstr/>
      </vt:variant>
      <vt:variant>
        <vt:lpwstr>_Toc5464609</vt:lpwstr>
      </vt:variant>
      <vt:variant>
        <vt:i4>2555909</vt:i4>
      </vt:variant>
      <vt:variant>
        <vt:i4>38</vt:i4>
      </vt:variant>
      <vt:variant>
        <vt:i4>0</vt:i4>
      </vt:variant>
      <vt:variant>
        <vt:i4>5</vt:i4>
      </vt:variant>
      <vt:variant>
        <vt:lpwstr/>
      </vt:variant>
      <vt:variant>
        <vt:lpwstr>_Toc5464608</vt:lpwstr>
      </vt:variant>
      <vt:variant>
        <vt:i4>2555909</vt:i4>
      </vt:variant>
      <vt:variant>
        <vt:i4>32</vt:i4>
      </vt:variant>
      <vt:variant>
        <vt:i4>0</vt:i4>
      </vt:variant>
      <vt:variant>
        <vt:i4>5</vt:i4>
      </vt:variant>
      <vt:variant>
        <vt:lpwstr/>
      </vt:variant>
      <vt:variant>
        <vt:lpwstr>_Toc5464607</vt:lpwstr>
      </vt:variant>
      <vt:variant>
        <vt:i4>2555909</vt:i4>
      </vt:variant>
      <vt:variant>
        <vt:i4>26</vt:i4>
      </vt:variant>
      <vt:variant>
        <vt:i4>0</vt:i4>
      </vt:variant>
      <vt:variant>
        <vt:i4>5</vt:i4>
      </vt:variant>
      <vt:variant>
        <vt:lpwstr/>
      </vt:variant>
      <vt:variant>
        <vt:lpwstr>_Toc5464606</vt:lpwstr>
      </vt:variant>
      <vt:variant>
        <vt:i4>2555909</vt:i4>
      </vt:variant>
      <vt:variant>
        <vt:i4>20</vt:i4>
      </vt:variant>
      <vt:variant>
        <vt:i4>0</vt:i4>
      </vt:variant>
      <vt:variant>
        <vt:i4>5</vt:i4>
      </vt:variant>
      <vt:variant>
        <vt:lpwstr/>
      </vt:variant>
      <vt:variant>
        <vt:lpwstr>_Toc5464605</vt:lpwstr>
      </vt:variant>
      <vt:variant>
        <vt:i4>2555909</vt:i4>
      </vt:variant>
      <vt:variant>
        <vt:i4>14</vt:i4>
      </vt:variant>
      <vt:variant>
        <vt:i4>0</vt:i4>
      </vt:variant>
      <vt:variant>
        <vt:i4>5</vt:i4>
      </vt:variant>
      <vt:variant>
        <vt:lpwstr/>
      </vt:variant>
      <vt:variant>
        <vt:lpwstr>_Toc5464604</vt:lpwstr>
      </vt:variant>
      <vt:variant>
        <vt:i4>2555909</vt:i4>
      </vt:variant>
      <vt:variant>
        <vt:i4>8</vt:i4>
      </vt:variant>
      <vt:variant>
        <vt:i4>0</vt:i4>
      </vt:variant>
      <vt:variant>
        <vt:i4>5</vt:i4>
      </vt:variant>
      <vt:variant>
        <vt:lpwstr/>
      </vt:variant>
      <vt:variant>
        <vt:lpwstr>_Toc5464603</vt:lpwstr>
      </vt:variant>
      <vt:variant>
        <vt:i4>2555909</vt:i4>
      </vt:variant>
      <vt:variant>
        <vt:i4>2</vt:i4>
      </vt:variant>
      <vt:variant>
        <vt:i4>0</vt:i4>
      </vt:variant>
      <vt:variant>
        <vt:i4>5</vt:i4>
      </vt:variant>
      <vt:variant>
        <vt:lpwstr/>
      </vt:variant>
      <vt:variant>
        <vt:lpwstr>_Toc5464602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Boyd.Mike@epa.gov</dc:creator>
  <cp:keywords/>
  <dc:description/>
  <cp:lastModifiedBy>Keisuke Nakamura</cp:lastModifiedBy>
  <cp:revision>7</cp:revision>
  <cp:lastPrinted>2023-11-16T18:41:00Z</cp:lastPrinted>
  <dcterms:created xsi:type="dcterms:W3CDTF">2024-05-16T20:42:00Z</dcterms:created>
  <dcterms:modified xsi:type="dcterms:W3CDTF">2024-05-16T21:15:00Z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DocumentId">
    <vt:lpwstr>BF41F05FB613F72EB7094098ECB42F184D06AF9E77EC041BBCB612FCC3904B32</vt:lpwstr>
  </property>
  <property fmtid="{D5CDD505-2E9C-101B-9397-08002B2CF9AE}" pid="3" name="OecdDocumentCoteLangHash">
    <vt:lpwstr/>
  </property>
  <property fmtid="{D5CDD505-2E9C-101B-9397-08002B2CF9AE}" pid="4" name="ClassificationContentMarkingHeaderShapeIds">
    <vt:lpwstr>1,2,4,5,6,7</vt:lpwstr>
  </property>
  <property fmtid="{D5CDD505-2E9C-101B-9397-08002B2CF9AE}" pid="5" name="ClassificationContentMarkingHeaderFontProps">
    <vt:lpwstr>#0000ff,10,Calibri</vt:lpwstr>
  </property>
  <property fmtid="{D5CDD505-2E9C-101B-9397-08002B2CF9AE}" pid="6" name="ClassificationContentMarkingHeaderText">
    <vt:lpwstr>OFFICIAL</vt:lpwstr>
  </property>
  <property fmtid="{D5CDD505-2E9C-101B-9397-08002B2CF9AE}" pid="7" name="ClassificationContentMarkingFooterShapeIds">
    <vt:lpwstr>8,9,c,d,e,f</vt:lpwstr>
  </property>
  <property fmtid="{D5CDD505-2E9C-101B-9397-08002B2CF9AE}" pid="8" name="ClassificationContentMarkingFooterFontProps">
    <vt:lpwstr>#0000ff,10,Calibri</vt:lpwstr>
  </property>
  <property fmtid="{D5CDD505-2E9C-101B-9397-08002B2CF9AE}" pid="9" name="ClassificationContentMarkingFooterText">
    <vt:lpwstr>OFFICIAL</vt:lpwstr>
  </property>
  <property fmtid="{D5CDD505-2E9C-101B-9397-08002B2CF9AE}" pid="10" name="MSIP_Label_ea4fd52f-9814-4cae-aa53-0ea7b16cd381_Enabled">
    <vt:lpwstr>true</vt:lpwstr>
  </property>
  <property fmtid="{D5CDD505-2E9C-101B-9397-08002B2CF9AE}" pid="11" name="MSIP_Label_ea4fd52f-9814-4cae-aa53-0ea7b16cd381_SetDate">
    <vt:lpwstr>2023-06-09T15:01:22Z</vt:lpwstr>
  </property>
  <property fmtid="{D5CDD505-2E9C-101B-9397-08002B2CF9AE}" pid="12" name="MSIP_Label_ea4fd52f-9814-4cae-aa53-0ea7b16cd381_Method">
    <vt:lpwstr>Privileged</vt:lpwstr>
  </property>
  <property fmtid="{D5CDD505-2E9C-101B-9397-08002B2CF9AE}" pid="13" name="MSIP_Label_ea4fd52f-9814-4cae-aa53-0ea7b16cd381_Name">
    <vt:lpwstr>Official General</vt:lpwstr>
  </property>
  <property fmtid="{D5CDD505-2E9C-101B-9397-08002B2CF9AE}" pid="14" name="MSIP_Label_ea4fd52f-9814-4cae-aa53-0ea7b16cd381_SiteId">
    <vt:lpwstr>5cf26d65-cf46-4c72-ba82-7577d9c2d7ab</vt:lpwstr>
  </property>
  <property fmtid="{D5CDD505-2E9C-101B-9397-08002B2CF9AE}" pid="15" name="MSIP_Label_ea4fd52f-9814-4cae-aa53-0ea7b16cd381_ActionId">
    <vt:lpwstr>de281d61-2725-43a0-85cd-ff1d9f3ae7ca</vt:lpwstr>
  </property>
  <property fmtid="{D5CDD505-2E9C-101B-9397-08002B2CF9AE}" pid="16" name="MSIP_Label_ea4fd52f-9814-4cae-aa53-0ea7b16cd381_ContentBits">
    <vt:lpwstr>3</vt:lpwstr>
  </property>
  <property fmtid="{D5CDD505-2E9C-101B-9397-08002B2CF9AE}" pid="17" name="GrammarlyDocumentId">
    <vt:lpwstr>ccf8b8fb7133f4ac060a5eb199b336e76580cf593d28d34cb42ae0eb9110ebc2</vt:lpwstr>
  </property>
</Properties>
</file>